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3D" w:rsidRPr="00A44717" w:rsidRDefault="00A44717" w:rsidP="0033553D">
      <w:pPr>
        <w:pStyle w:val="Name"/>
        <w:rPr>
          <w:color w:val="A6A6A6" w:themeColor="background1" w:themeShade="A6"/>
        </w:rPr>
      </w:pPr>
      <w:r>
        <w:rPr>
          <w:noProof/>
        </w:rPr>
        <w:drawing>
          <wp:inline distT="0" distB="0" distL="0" distR="0">
            <wp:extent cx="2638425" cy="877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S_Logo.png"/>
                    <pic:cNvPicPr/>
                  </pic:nvPicPr>
                  <pic:blipFill>
                    <a:blip r:embed="rId5">
                      <a:extLst>
                        <a:ext uri="{28A0092B-C50C-407E-A947-70E740481C1C}">
                          <a14:useLocalDpi xmlns:a14="http://schemas.microsoft.com/office/drawing/2010/main" val="0"/>
                        </a:ext>
                      </a:extLst>
                    </a:blip>
                    <a:stretch>
                      <a:fillRect/>
                    </a:stretch>
                  </pic:blipFill>
                  <pic:spPr>
                    <a:xfrm>
                      <a:off x="0" y="0"/>
                      <a:ext cx="2654192" cy="882745"/>
                    </a:xfrm>
                    <a:prstGeom prst="rect">
                      <a:avLst/>
                    </a:prstGeom>
                  </pic:spPr>
                </pic:pic>
              </a:graphicData>
            </a:graphic>
          </wp:inline>
        </w:drawing>
      </w:r>
      <w:r>
        <w:t xml:space="preserve">         </w:t>
      </w:r>
      <w:r w:rsidR="0033553D" w:rsidRPr="00A44717">
        <w:t xml:space="preserve">News Release                      </w:t>
      </w:r>
    </w:p>
    <w:p w:rsidR="00907A55" w:rsidRPr="004A53E8" w:rsidRDefault="00EB09AA" w:rsidP="00907A55">
      <w:pPr>
        <w:rPr>
          <w:rFonts w:asciiTheme="minorHAnsi" w:hAnsiTheme="minorHAnsi"/>
          <w:sz w:val="22"/>
          <w:szCs w:val="22"/>
        </w:rPr>
      </w:pPr>
      <w:r w:rsidRPr="004A53E8">
        <w:rPr>
          <w:rFonts w:asciiTheme="minorHAnsi" w:hAnsiTheme="minorHAnsi"/>
          <w:sz w:val="22"/>
          <w:szCs w:val="22"/>
        </w:rPr>
        <w:t>Oct. 2</w:t>
      </w:r>
      <w:r w:rsidR="001C0AFC" w:rsidRPr="004A53E8">
        <w:rPr>
          <w:rFonts w:asciiTheme="minorHAnsi" w:hAnsiTheme="minorHAnsi"/>
          <w:sz w:val="22"/>
          <w:szCs w:val="22"/>
        </w:rPr>
        <w:t>, 2017</w:t>
      </w:r>
    </w:p>
    <w:p w:rsidR="00907A55" w:rsidRPr="004A53E8" w:rsidRDefault="00907A55" w:rsidP="00907A55">
      <w:pPr>
        <w:rPr>
          <w:rFonts w:asciiTheme="minorHAnsi" w:hAnsiTheme="minorHAnsi"/>
          <w:sz w:val="22"/>
          <w:szCs w:val="22"/>
        </w:rPr>
      </w:pPr>
    </w:p>
    <w:p w:rsidR="00907A55" w:rsidRPr="004A53E8" w:rsidRDefault="00907A55" w:rsidP="00907A55">
      <w:pPr>
        <w:pStyle w:val="NoSpacing"/>
        <w:rPr>
          <w:rFonts w:cs="Arial"/>
          <w:b/>
        </w:rPr>
      </w:pPr>
      <w:r w:rsidRPr="004A53E8">
        <w:rPr>
          <w:rFonts w:cs="Arial"/>
          <w:b/>
        </w:rPr>
        <w:t>FOR IMMEDIATE RELEASE</w:t>
      </w:r>
    </w:p>
    <w:p w:rsidR="00907A55" w:rsidRPr="004A53E8" w:rsidRDefault="00907A55" w:rsidP="00907A55">
      <w:pPr>
        <w:pStyle w:val="NoSpacing"/>
        <w:rPr>
          <w:rFonts w:cs="Arial"/>
        </w:rPr>
      </w:pPr>
      <w:r w:rsidRPr="004A53E8">
        <w:rPr>
          <w:rFonts w:cs="Arial"/>
          <w:b/>
        </w:rPr>
        <w:t>CONTACT:</w:t>
      </w:r>
      <w:r w:rsidRPr="004A53E8">
        <w:rPr>
          <w:rFonts w:cs="Arial"/>
        </w:rPr>
        <w:t xml:space="preserve"> Beth Spencer, Communications Manager - 217.378.7512</w:t>
      </w:r>
    </w:p>
    <w:p w:rsidR="00A44717" w:rsidRPr="004A53E8" w:rsidRDefault="00A44717" w:rsidP="00A44717">
      <w:pPr>
        <w:pStyle w:val="NoSpacing"/>
        <w:rPr>
          <w:rFonts w:ascii="Arial" w:hAnsi="Arial" w:cs="Arial"/>
          <w:b/>
          <w:sz w:val="32"/>
          <w:szCs w:val="32"/>
        </w:rPr>
      </w:pPr>
    </w:p>
    <w:p w:rsidR="00EB09AA" w:rsidRPr="004A53E8" w:rsidRDefault="00EB09AA" w:rsidP="00EB09AA">
      <w:pPr>
        <w:shd w:val="clear" w:color="auto" w:fill="FFFFFF"/>
        <w:spacing w:before="75" w:after="75"/>
        <w:textAlignment w:val="baseline"/>
        <w:outlineLvl w:val="0"/>
        <w:rPr>
          <w:rFonts w:cs="Arial"/>
          <w:b/>
          <w:bCs/>
          <w:color w:val="000000"/>
          <w:kern w:val="36"/>
          <w:sz w:val="32"/>
          <w:szCs w:val="32"/>
          <w:lang w:val="en"/>
        </w:rPr>
      </w:pPr>
      <w:r w:rsidRPr="004A53E8">
        <w:rPr>
          <w:rFonts w:cs="Arial"/>
          <w:b/>
          <w:bCs/>
          <w:color w:val="000000"/>
          <w:kern w:val="36"/>
          <w:sz w:val="32"/>
          <w:szCs w:val="32"/>
          <w:lang w:val="en"/>
        </w:rPr>
        <w:t>SURS 2018 Board of Trustees Election</w:t>
      </w:r>
    </w:p>
    <w:p w:rsidR="00EB09AA" w:rsidRDefault="00EB09AA" w:rsidP="00EB09AA">
      <w:pPr>
        <w:shd w:val="clear" w:color="auto" w:fill="FFFFFF"/>
        <w:textAlignment w:val="baseline"/>
        <w:rPr>
          <w:rFonts w:cs="Arial"/>
          <w:color w:val="000000"/>
          <w:lang w:val="en"/>
        </w:rPr>
      </w:pPr>
      <w:r>
        <w:rPr>
          <w:rFonts w:cs="Arial"/>
          <w:noProof/>
          <w:color w:val="000000"/>
        </w:rPr>
        <w:drawing>
          <wp:anchor distT="0" distB="0" distL="114300" distR="114300" simplePos="0" relativeHeight="251658240" behindDoc="1" locked="0" layoutInCell="1" allowOverlap="1">
            <wp:simplePos x="0" y="0"/>
            <wp:positionH relativeFrom="column">
              <wp:posOffset>57150</wp:posOffset>
            </wp:positionH>
            <wp:positionV relativeFrom="paragraph">
              <wp:posOffset>57785</wp:posOffset>
            </wp:positionV>
            <wp:extent cx="3014980" cy="2009775"/>
            <wp:effectExtent l="57150" t="57150" r="109220" b="123825"/>
            <wp:wrapTight wrapText="bothSides">
              <wp:wrapPolygon edited="0">
                <wp:start x="-136" y="-614"/>
                <wp:lineTo x="-409" y="-409"/>
                <wp:lineTo x="-409" y="21907"/>
                <wp:lineTo x="-136" y="22726"/>
                <wp:lineTo x="21973" y="22726"/>
                <wp:lineTo x="21973" y="22521"/>
                <wp:lineTo x="22246" y="19450"/>
                <wp:lineTo x="22246" y="2866"/>
                <wp:lineTo x="21837" y="-205"/>
                <wp:lineTo x="21837" y="-614"/>
                <wp:lineTo x="-136" y="-6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406061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4980" cy="20097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B09AA" w:rsidRPr="004A53E8" w:rsidRDefault="00EB09AA" w:rsidP="00EB09AA">
      <w:pPr>
        <w:pStyle w:val="NoSpacing"/>
        <w:rPr>
          <w:rFonts w:cs="Arial"/>
          <w:color w:val="221E1F"/>
        </w:rPr>
      </w:pPr>
      <w:r w:rsidRPr="004A53E8">
        <w:rPr>
          <w:rFonts w:eastAsia="Times New Roman" w:cs="Arial"/>
          <w:color w:val="000000"/>
          <w:lang w:val="en"/>
        </w:rPr>
        <w:t xml:space="preserve">Martin Noven, board secretary and executive director of the State Universities Retirement System (SURS), has announced the System will hold a board election during April 2018 to fill three expiring trustee positions. An impartial election services company will conduct the election. Candidate packets and petition forms are available from SURS. </w:t>
      </w:r>
      <w:r w:rsidRPr="004A53E8">
        <w:rPr>
          <w:rFonts w:cs="Arial"/>
          <w:color w:val="221E1F"/>
        </w:rPr>
        <w:t xml:space="preserve">Candidates should contact Kelly Carson at </w:t>
      </w:r>
      <w:hyperlink r:id="rId7" w:history="1">
        <w:r w:rsidRPr="004A53E8">
          <w:rPr>
            <w:rStyle w:val="Hyperlink"/>
            <w:rFonts w:cs="Arial"/>
            <w:sz w:val="22"/>
            <w:szCs w:val="22"/>
          </w:rPr>
          <w:t>kcarson@surs.org</w:t>
        </w:r>
      </w:hyperlink>
      <w:r w:rsidRPr="004A53E8">
        <w:rPr>
          <w:rFonts w:cs="Arial"/>
          <w:color w:val="221E1F"/>
        </w:rPr>
        <w:t xml:space="preserve"> for information. Completed petitions will be due to SURS on Jan. 31, 2018. </w:t>
      </w:r>
    </w:p>
    <w:p w:rsidR="00EB09AA" w:rsidRPr="001443D5" w:rsidRDefault="00EB09AA" w:rsidP="00EB09AA">
      <w:pPr>
        <w:shd w:val="clear" w:color="auto" w:fill="FFFFFF"/>
        <w:textAlignment w:val="baseline"/>
        <w:rPr>
          <w:rFonts w:cs="Arial"/>
          <w:color w:val="000000"/>
          <w:lang w:val="en"/>
        </w:rPr>
      </w:pP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r w:rsidRPr="004A53E8">
        <w:rPr>
          <w:rFonts w:asciiTheme="minorHAnsi" w:hAnsiTheme="minorHAnsi" w:cs="Arial"/>
          <w:color w:val="000000"/>
          <w:sz w:val="22"/>
          <w:szCs w:val="22"/>
          <w:lang w:val="en"/>
        </w:rPr>
        <w:t>The SURS Board of Trustees consists of 11 trustees: five appointed by the governor including the chairperson who also serves as the chair of the Illinois Board of Higher Education, four active members elected by SURS active members, and two annuitants elected by the annuitants of the System.</w:t>
      </w: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r w:rsidRPr="004A53E8">
        <w:rPr>
          <w:rFonts w:asciiTheme="minorHAnsi" w:hAnsiTheme="minorHAnsi" w:cs="Arial"/>
          <w:color w:val="000000"/>
          <w:sz w:val="22"/>
          <w:szCs w:val="22"/>
          <w:lang w:val="en"/>
        </w:rPr>
        <w:t>Two active board member terms and one annuitant (retired) board member term will expire in June 2018. Dorinda Miller, Steven Rock and John Engstrom currently hold the seats, respectively.</w:t>
      </w: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r w:rsidRPr="004A53E8">
        <w:rPr>
          <w:rFonts w:asciiTheme="minorHAnsi" w:hAnsiTheme="minorHAnsi" w:cs="Arial"/>
          <w:color w:val="000000"/>
          <w:sz w:val="22"/>
          <w:szCs w:val="22"/>
          <w:lang w:val="en"/>
        </w:rPr>
        <w:t>The voting period will be April 2 through May 1, 2018, with results to be announced on May 4, 2018. Active member candidates are nominated by petitions in writing, signed by no less than 400 participants. Annuitant candidates are also nominated by petitions in writing, signed by no less than 100 annuitants. All candidates must also complete an application.</w:t>
      </w: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bookmarkStart w:id="0" w:name="_GoBack"/>
      <w:r w:rsidRPr="004A53E8">
        <w:rPr>
          <w:rFonts w:asciiTheme="minorHAnsi" w:hAnsiTheme="minorHAnsi" w:cs="Arial"/>
          <w:color w:val="000000"/>
          <w:sz w:val="22"/>
          <w:szCs w:val="22"/>
          <w:lang w:val="en"/>
        </w:rPr>
        <w:t xml:space="preserve">All eligible SURS members will receive a ballot along with candidate information prior to April 2, 2018. Members will be able to vote by returning a paper ballot in a postage-paid envelope, by phone or online. </w:t>
      </w:r>
      <w:bookmarkEnd w:id="0"/>
      <w:r w:rsidRPr="004A53E8">
        <w:rPr>
          <w:rFonts w:asciiTheme="minorHAnsi" w:hAnsiTheme="minorHAnsi" w:cs="Arial"/>
          <w:color w:val="000000"/>
          <w:sz w:val="22"/>
          <w:szCs w:val="22"/>
          <w:lang w:val="en"/>
        </w:rPr>
        <w:t>Voting will be handled directly through the election services company.</w:t>
      </w: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r w:rsidRPr="004A53E8">
        <w:rPr>
          <w:rFonts w:asciiTheme="minorHAnsi" w:hAnsiTheme="minorHAnsi" w:cs="Arial"/>
          <w:color w:val="000000"/>
          <w:sz w:val="22"/>
          <w:szCs w:val="22"/>
          <w:lang w:val="en"/>
        </w:rPr>
        <w:t>The SURS Board of Trustees meets quarterly, with additional committee meetings scheduled throughout the year. Trustees are also required to meet certain annual ethics, legislative and fiduciary training as well as complete eight hours of educational conferences on investments and public pension administration.</w:t>
      </w: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r w:rsidRPr="004A53E8">
        <w:rPr>
          <w:rFonts w:asciiTheme="minorHAnsi" w:hAnsiTheme="minorHAnsi" w:cs="Arial"/>
          <w:color w:val="000000"/>
          <w:sz w:val="22"/>
          <w:szCs w:val="22"/>
          <w:lang w:val="en"/>
        </w:rPr>
        <w:t>Elected trustees serve six-year terms.</w:t>
      </w: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p>
    <w:p w:rsidR="00EB09AA" w:rsidRPr="004A53E8" w:rsidRDefault="00EB09AA" w:rsidP="00EB09AA">
      <w:pPr>
        <w:shd w:val="clear" w:color="auto" w:fill="FFFFFF"/>
        <w:textAlignment w:val="baseline"/>
        <w:rPr>
          <w:rFonts w:asciiTheme="minorHAnsi" w:hAnsiTheme="minorHAnsi" w:cs="Arial"/>
          <w:color w:val="000000"/>
          <w:sz w:val="22"/>
          <w:szCs w:val="22"/>
          <w:lang w:val="en"/>
        </w:rPr>
      </w:pPr>
      <w:r w:rsidRPr="004A53E8">
        <w:rPr>
          <w:rFonts w:asciiTheme="minorHAnsi" w:hAnsiTheme="minorHAnsi" w:cs="Arial"/>
          <w:color w:val="000000"/>
          <w:sz w:val="22"/>
          <w:szCs w:val="22"/>
          <w:lang w:val="en"/>
        </w:rPr>
        <w:t xml:space="preserve">All SURS members are encouraged to consider running for a trustee position. </w:t>
      </w:r>
    </w:p>
    <w:p w:rsidR="00EB09AA" w:rsidRDefault="00EB09AA" w:rsidP="00EB09AA">
      <w:pPr>
        <w:shd w:val="clear" w:color="auto" w:fill="FFFFFF"/>
        <w:textAlignment w:val="baseline"/>
        <w:rPr>
          <w:rFonts w:cs="Arial"/>
          <w:color w:val="000000"/>
          <w:lang w:val="en"/>
        </w:rPr>
      </w:pPr>
    </w:p>
    <w:p w:rsidR="00EB09AA" w:rsidRPr="001443D5" w:rsidRDefault="00EB09AA" w:rsidP="00EB09AA">
      <w:pPr>
        <w:shd w:val="clear" w:color="auto" w:fill="FFFFFF"/>
        <w:textAlignment w:val="baseline"/>
        <w:rPr>
          <w:rFonts w:cs="Arial"/>
          <w:color w:val="000000"/>
          <w:lang w:val="en"/>
        </w:rPr>
      </w:pPr>
    </w:p>
    <w:p w:rsidR="00EB09AA" w:rsidRPr="001443D5" w:rsidRDefault="00EB09AA" w:rsidP="00EB09AA">
      <w:pPr>
        <w:shd w:val="clear" w:color="auto" w:fill="FFFFFF"/>
        <w:textAlignment w:val="baseline"/>
        <w:rPr>
          <w:rFonts w:cs="Arial"/>
          <w:color w:val="000000"/>
          <w:lang w:val="en"/>
        </w:rPr>
      </w:pPr>
    </w:p>
    <w:tbl>
      <w:tblPr>
        <w:tblW w:w="5821" w:type="pct"/>
        <w:tblCellSpacing w:w="0" w:type="dxa"/>
        <w:tblInd w:w="-668" w:type="dxa"/>
        <w:tblBorders>
          <w:top w:val="single" w:sz="6" w:space="0" w:color="CCCCCC"/>
          <w:left w:val="single" w:sz="6" w:space="0" w:color="CCCCCC"/>
          <w:bottom w:val="single" w:sz="6" w:space="0" w:color="CCCCCC"/>
          <w:right w:val="single" w:sz="6" w:space="0" w:color="CCCCCC"/>
        </w:tblBorders>
        <w:shd w:val="clear" w:color="auto" w:fill="CED8F6"/>
        <w:tblCellMar>
          <w:left w:w="0" w:type="dxa"/>
          <w:right w:w="0" w:type="dxa"/>
        </w:tblCellMar>
        <w:tblLook w:val="04A0" w:firstRow="1" w:lastRow="0" w:firstColumn="1" w:lastColumn="0" w:noHBand="0" w:noVBand="1"/>
      </w:tblPr>
      <w:tblGrid>
        <w:gridCol w:w="6386"/>
        <w:gridCol w:w="4790"/>
      </w:tblGrid>
      <w:tr w:rsidR="00EB09AA" w:rsidRPr="001443D5" w:rsidTr="00E8322F">
        <w:trPr>
          <w:trHeight w:val="292"/>
          <w:tblCellSpacing w:w="0" w:type="dxa"/>
        </w:trPr>
        <w:tc>
          <w:tcPr>
            <w:tcW w:w="2857" w:type="pct"/>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b/>
                <w:bCs/>
                <w:color w:val="000000"/>
                <w:u w:val="single"/>
                <w:bdr w:val="none" w:sz="0" w:space="0" w:color="auto" w:frame="1"/>
              </w:rPr>
              <w:t xml:space="preserve">SURS Election </w:t>
            </w:r>
            <w:r w:rsidRPr="00691812">
              <w:rPr>
                <w:rFonts w:cs="Arial"/>
                <w:b/>
                <w:bCs/>
                <w:color w:val="000000"/>
                <w:u w:val="single"/>
                <w:bdr w:val="none" w:sz="0" w:space="0" w:color="auto" w:frame="1"/>
              </w:rPr>
              <w:t>Process Dates:</w:t>
            </w:r>
            <w:r>
              <w:rPr>
                <w:rFonts w:cs="Arial"/>
                <w:b/>
                <w:bCs/>
                <w:color w:val="000000"/>
                <w:u w:val="single"/>
                <w:bdr w:val="none" w:sz="0" w:space="0" w:color="auto" w:frame="1"/>
              </w:rPr>
              <w:t xml:space="preserve"> </w:t>
            </w:r>
          </w:p>
        </w:tc>
        <w:tc>
          <w:tcPr>
            <w:tcW w:w="2143" w:type="pct"/>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sidRPr="00691812">
              <w:rPr>
                <w:rFonts w:cs="Arial"/>
                <w:color w:val="000000"/>
              </w:rPr>
              <w:t> </w:t>
            </w:r>
          </w:p>
        </w:tc>
      </w:tr>
      <w:tr w:rsidR="00EB09AA" w:rsidRPr="001443D5" w:rsidTr="00E8322F">
        <w:trPr>
          <w:trHeight w:val="584"/>
          <w:tblCellSpacing w:w="0" w:type="dxa"/>
        </w:trPr>
        <w:tc>
          <w:tcPr>
            <w:tcW w:w="0" w:type="auto"/>
            <w:tcBorders>
              <w:top w:val="nil"/>
              <w:left w:val="nil"/>
              <w:bottom w:val="nil"/>
              <w:right w:val="nil"/>
            </w:tcBorders>
            <w:shd w:val="clear" w:color="auto" w:fill="CED8F6"/>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Oct. 2, 2017</w:t>
            </w:r>
            <w:r w:rsidRPr="00691812">
              <w:rPr>
                <w:rFonts w:cs="Arial"/>
                <w:color w:val="000000"/>
              </w:rPr>
              <w:t xml:space="preserve">                                                                                      </w:t>
            </w:r>
          </w:p>
        </w:tc>
        <w:tc>
          <w:tcPr>
            <w:tcW w:w="0" w:type="auto"/>
            <w:tcBorders>
              <w:top w:val="nil"/>
              <w:left w:val="nil"/>
              <w:bottom w:val="nil"/>
              <w:right w:val="nil"/>
            </w:tcBorders>
            <w:shd w:val="clear" w:color="auto" w:fill="CED8F6"/>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Candidate packets and petition forms a</w:t>
            </w:r>
            <w:r w:rsidRPr="00691812">
              <w:rPr>
                <w:rFonts w:cs="Arial"/>
                <w:color w:val="000000"/>
              </w:rPr>
              <w:t>vailable</w:t>
            </w:r>
            <w:r w:rsidRPr="00691812">
              <w:rPr>
                <w:rFonts w:cs="Arial"/>
                <w:color w:val="000000"/>
              </w:rPr>
              <w:br/>
              <w:t xml:space="preserve">Contact: </w:t>
            </w:r>
            <w:hyperlink r:id="rId8" w:history="1">
              <w:r w:rsidRPr="0075649B">
                <w:rPr>
                  <w:rStyle w:val="Hyperlink"/>
                  <w:sz w:val="22"/>
                  <w:szCs w:val="22"/>
                </w:rPr>
                <w:t>kcarson@surs.org</w:t>
              </w:r>
            </w:hyperlink>
          </w:p>
        </w:tc>
      </w:tr>
      <w:tr w:rsidR="00EB09AA" w:rsidRPr="001443D5" w:rsidTr="00E8322F">
        <w:trPr>
          <w:trHeight w:val="860"/>
          <w:tblCellSpacing w:w="0" w:type="dxa"/>
        </w:trPr>
        <w:tc>
          <w:tcPr>
            <w:tcW w:w="0" w:type="auto"/>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Oct. 2, 2017 – Jan. 31, 2018</w:t>
            </w:r>
            <w:r w:rsidRPr="00691812">
              <w:rPr>
                <w:rFonts w:cs="Arial"/>
                <w:color w:val="000000"/>
              </w:rPr>
              <w:t xml:space="preserve">                                                                       </w:t>
            </w:r>
          </w:p>
        </w:tc>
        <w:tc>
          <w:tcPr>
            <w:tcW w:w="0" w:type="auto"/>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Petition circulation p</w:t>
            </w:r>
            <w:r w:rsidRPr="00691812">
              <w:rPr>
                <w:rFonts w:cs="Arial"/>
                <w:color w:val="000000"/>
              </w:rPr>
              <w:t>eriod</w:t>
            </w:r>
            <w:r w:rsidRPr="00691812">
              <w:rPr>
                <w:rFonts w:cs="Arial"/>
                <w:color w:val="000000"/>
              </w:rPr>
              <w:br/>
            </w:r>
          </w:p>
        </w:tc>
      </w:tr>
      <w:tr w:rsidR="00EB09AA" w:rsidRPr="001443D5" w:rsidTr="00E8322F">
        <w:trPr>
          <w:trHeight w:val="292"/>
          <w:tblCellSpacing w:w="0" w:type="dxa"/>
        </w:trPr>
        <w:tc>
          <w:tcPr>
            <w:tcW w:w="0" w:type="auto"/>
            <w:tcBorders>
              <w:top w:val="nil"/>
              <w:left w:val="nil"/>
              <w:bottom w:val="nil"/>
              <w:right w:val="nil"/>
            </w:tcBorders>
            <w:shd w:val="clear" w:color="auto" w:fill="CED8F6"/>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Dec. 30, 2017</w:t>
            </w:r>
          </w:p>
        </w:tc>
        <w:tc>
          <w:tcPr>
            <w:tcW w:w="0" w:type="auto"/>
            <w:tcBorders>
              <w:top w:val="nil"/>
              <w:left w:val="nil"/>
              <w:bottom w:val="nil"/>
              <w:right w:val="nil"/>
            </w:tcBorders>
            <w:shd w:val="clear" w:color="auto" w:fill="CED8F6"/>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Candidate applications d</w:t>
            </w:r>
            <w:r w:rsidRPr="00691812">
              <w:rPr>
                <w:rFonts w:cs="Arial"/>
                <w:color w:val="000000"/>
              </w:rPr>
              <w:t>ue</w:t>
            </w:r>
          </w:p>
        </w:tc>
      </w:tr>
      <w:tr w:rsidR="00EB09AA" w:rsidRPr="001443D5" w:rsidTr="00E8322F">
        <w:trPr>
          <w:trHeight w:val="292"/>
          <w:tblCellSpacing w:w="0" w:type="dxa"/>
        </w:trPr>
        <w:tc>
          <w:tcPr>
            <w:tcW w:w="0" w:type="auto"/>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Jan. 31, 2018</w:t>
            </w:r>
          </w:p>
        </w:tc>
        <w:tc>
          <w:tcPr>
            <w:tcW w:w="0" w:type="auto"/>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Petitions d</w:t>
            </w:r>
            <w:r w:rsidRPr="00691812">
              <w:rPr>
                <w:rFonts w:cs="Arial"/>
                <w:color w:val="000000"/>
              </w:rPr>
              <w:t>ue</w:t>
            </w:r>
          </w:p>
        </w:tc>
      </w:tr>
      <w:tr w:rsidR="00EB09AA" w:rsidRPr="001443D5" w:rsidTr="00E8322F">
        <w:trPr>
          <w:trHeight w:val="292"/>
          <w:tblCellSpacing w:w="0" w:type="dxa"/>
        </w:trPr>
        <w:tc>
          <w:tcPr>
            <w:tcW w:w="0" w:type="auto"/>
            <w:tcBorders>
              <w:top w:val="nil"/>
              <w:left w:val="nil"/>
              <w:bottom w:val="nil"/>
              <w:right w:val="nil"/>
            </w:tcBorders>
            <w:shd w:val="clear" w:color="auto" w:fill="CED8F6"/>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sidRPr="00691812">
              <w:rPr>
                <w:rFonts w:cs="Arial"/>
                <w:color w:val="000000"/>
              </w:rPr>
              <w:t>Feb. 5</w:t>
            </w:r>
            <w:r>
              <w:rPr>
                <w:rFonts w:cs="Arial"/>
                <w:color w:val="000000"/>
              </w:rPr>
              <w:t>-9, 2018</w:t>
            </w:r>
          </w:p>
        </w:tc>
        <w:tc>
          <w:tcPr>
            <w:tcW w:w="0" w:type="auto"/>
            <w:tcBorders>
              <w:top w:val="nil"/>
              <w:left w:val="nil"/>
              <w:bottom w:val="nil"/>
              <w:right w:val="nil"/>
            </w:tcBorders>
            <w:shd w:val="clear" w:color="auto" w:fill="CED8F6"/>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Petitions v</w:t>
            </w:r>
            <w:r w:rsidRPr="00691812">
              <w:rPr>
                <w:rFonts w:cs="Arial"/>
                <w:color w:val="000000"/>
              </w:rPr>
              <w:t>alidated</w:t>
            </w:r>
          </w:p>
        </w:tc>
      </w:tr>
      <w:tr w:rsidR="00EB09AA" w:rsidRPr="001443D5" w:rsidTr="00E8322F">
        <w:trPr>
          <w:trHeight w:val="292"/>
          <w:tblCellSpacing w:w="0" w:type="dxa"/>
        </w:trPr>
        <w:tc>
          <w:tcPr>
            <w:tcW w:w="0" w:type="auto"/>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March 21, 2018</w:t>
            </w:r>
          </w:p>
        </w:tc>
        <w:tc>
          <w:tcPr>
            <w:tcW w:w="0" w:type="auto"/>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Election materials mailed to m</w:t>
            </w:r>
            <w:r w:rsidRPr="00691812">
              <w:rPr>
                <w:rFonts w:cs="Arial"/>
                <w:color w:val="000000"/>
              </w:rPr>
              <w:t>embers</w:t>
            </w:r>
          </w:p>
        </w:tc>
      </w:tr>
      <w:tr w:rsidR="00EB09AA" w:rsidRPr="001443D5" w:rsidTr="00E8322F">
        <w:trPr>
          <w:trHeight w:val="292"/>
          <w:tblCellSpacing w:w="0" w:type="dxa"/>
        </w:trPr>
        <w:tc>
          <w:tcPr>
            <w:tcW w:w="0" w:type="auto"/>
            <w:tcBorders>
              <w:top w:val="nil"/>
              <w:left w:val="nil"/>
              <w:bottom w:val="nil"/>
              <w:right w:val="nil"/>
            </w:tcBorders>
            <w:shd w:val="clear" w:color="auto" w:fill="CED8F6"/>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April 2 - May 1, 2018</w:t>
            </w:r>
          </w:p>
        </w:tc>
        <w:tc>
          <w:tcPr>
            <w:tcW w:w="0" w:type="auto"/>
            <w:tcBorders>
              <w:top w:val="nil"/>
              <w:left w:val="nil"/>
              <w:bottom w:val="nil"/>
              <w:right w:val="nil"/>
            </w:tcBorders>
            <w:shd w:val="clear" w:color="auto" w:fill="CED8F6"/>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Voting p</w:t>
            </w:r>
            <w:r w:rsidRPr="00691812">
              <w:rPr>
                <w:rFonts w:cs="Arial"/>
                <w:color w:val="000000"/>
              </w:rPr>
              <w:t>eriod</w:t>
            </w:r>
          </w:p>
        </w:tc>
      </w:tr>
      <w:tr w:rsidR="00EB09AA" w:rsidRPr="001443D5" w:rsidTr="00E8322F">
        <w:trPr>
          <w:trHeight w:val="292"/>
          <w:tblCellSpacing w:w="0" w:type="dxa"/>
        </w:trPr>
        <w:tc>
          <w:tcPr>
            <w:tcW w:w="0" w:type="auto"/>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May 1, 2018</w:t>
            </w:r>
          </w:p>
        </w:tc>
        <w:tc>
          <w:tcPr>
            <w:tcW w:w="0" w:type="auto"/>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Election Day – All ballots d</w:t>
            </w:r>
            <w:r w:rsidRPr="00691812">
              <w:rPr>
                <w:rFonts w:cs="Arial"/>
                <w:color w:val="000000"/>
              </w:rPr>
              <w:t>ue</w:t>
            </w:r>
          </w:p>
        </w:tc>
      </w:tr>
      <w:tr w:rsidR="00EB09AA" w:rsidRPr="001443D5" w:rsidTr="00E8322F">
        <w:trPr>
          <w:trHeight w:val="292"/>
          <w:tblCellSpacing w:w="0" w:type="dxa"/>
        </w:trPr>
        <w:tc>
          <w:tcPr>
            <w:tcW w:w="0" w:type="auto"/>
            <w:tcBorders>
              <w:top w:val="nil"/>
              <w:left w:val="nil"/>
              <w:bottom w:val="nil"/>
              <w:right w:val="nil"/>
            </w:tcBorders>
            <w:shd w:val="clear" w:color="auto" w:fill="CED8F6"/>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sidRPr="00BC5F4C">
              <w:rPr>
                <w:rFonts w:cs="Arial"/>
                <w:color w:val="000000"/>
              </w:rPr>
              <w:t>May 4,</w:t>
            </w:r>
            <w:r>
              <w:rPr>
                <w:rFonts w:cs="Arial"/>
                <w:color w:val="000000"/>
              </w:rPr>
              <w:t xml:space="preserve"> 2018</w:t>
            </w:r>
          </w:p>
        </w:tc>
        <w:tc>
          <w:tcPr>
            <w:tcW w:w="0" w:type="auto"/>
            <w:tcBorders>
              <w:top w:val="nil"/>
              <w:left w:val="nil"/>
              <w:bottom w:val="nil"/>
              <w:right w:val="nil"/>
            </w:tcBorders>
            <w:shd w:val="clear" w:color="auto" w:fill="CED8F6"/>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Election results a</w:t>
            </w:r>
            <w:r w:rsidRPr="00691812">
              <w:rPr>
                <w:rFonts w:cs="Arial"/>
                <w:color w:val="000000"/>
              </w:rPr>
              <w:t>nnounced</w:t>
            </w:r>
          </w:p>
        </w:tc>
      </w:tr>
      <w:tr w:rsidR="00EB09AA" w:rsidRPr="001443D5" w:rsidTr="00E8322F">
        <w:trPr>
          <w:trHeight w:val="292"/>
          <w:tblCellSpacing w:w="0" w:type="dxa"/>
        </w:trPr>
        <w:tc>
          <w:tcPr>
            <w:tcW w:w="0" w:type="auto"/>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July 15, 2018</w:t>
            </w:r>
          </w:p>
        </w:tc>
        <w:tc>
          <w:tcPr>
            <w:tcW w:w="0" w:type="auto"/>
            <w:tcBorders>
              <w:top w:val="nil"/>
              <w:left w:val="nil"/>
              <w:bottom w:val="nil"/>
              <w:right w:val="nil"/>
            </w:tcBorders>
            <w:shd w:val="clear" w:color="auto" w:fill="F9F9F9"/>
            <w:tcMar>
              <w:top w:w="60" w:type="dxa"/>
              <w:left w:w="120" w:type="dxa"/>
              <w:bottom w:w="60" w:type="dxa"/>
              <w:right w:w="120" w:type="dxa"/>
            </w:tcMar>
            <w:vAlign w:val="center"/>
            <w:hideMark/>
          </w:tcPr>
          <w:p w:rsidR="00EB09AA" w:rsidRPr="00691812" w:rsidRDefault="00EB09AA" w:rsidP="00E8322F">
            <w:pPr>
              <w:textAlignment w:val="baseline"/>
              <w:rPr>
                <w:rFonts w:cs="Arial"/>
                <w:color w:val="000000"/>
              </w:rPr>
            </w:pPr>
            <w:r>
              <w:rPr>
                <w:rFonts w:cs="Arial"/>
                <w:color w:val="000000"/>
              </w:rPr>
              <w:t>Trustee t</w:t>
            </w:r>
            <w:r w:rsidRPr="00691812">
              <w:rPr>
                <w:rFonts w:cs="Arial"/>
                <w:color w:val="000000"/>
              </w:rPr>
              <w:t>e</w:t>
            </w:r>
            <w:r>
              <w:rPr>
                <w:rFonts w:cs="Arial"/>
                <w:color w:val="000000"/>
              </w:rPr>
              <w:t>rms b</w:t>
            </w:r>
            <w:r w:rsidRPr="00691812">
              <w:rPr>
                <w:rFonts w:cs="Arial"/>
                <w:color w:val="000000"/>
              </w:rPr>
              <w:t>egin</w:t>
            </w:r>
          </w:p>
        </w:tc>
      </w:tr>
    </w:tbl>
    <w:p w:rsidR="00EB09AA" w:rsidRDefault="00EB09AA" w:rsidP="00EB09AA">
      <w:pPr>
        <w:ind w:left="-1260" w:right="-810"/>
      </w:pPr>
    </w:p>
    <w:p w:rsidR="00EB09AA" w:rsidRPr="00386BA3" w:rsidRDefault="00EB09AA" w:rsidP="00A44717">
      <w:pPr>
        <w:pStyle w:val="NoSpacing"/>
        <w:rPr>
          <w:rFonts w:ascii="Arial" w:hAnsi="Arial" w:cs="Arial"/>
          <w:b/>
        </w:rPr>
      </w:pPr>
    </w:p>
    <w:p w:rsidR="00BF7166" w:rsidRPr="00386BA3" w:rsidRDefault="00BF7166">
      <w:pPr>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907A55" w:rsidRDefault="00907A55" w:rsidP="00C63EA7">
      <w:pPr>
        <w:ind w:left="2160"/>
        <w:rPr>
          <w:rFonts w:cs="Arial"/>
          <w:sz w:val="22"/>
          <w:szCs w:val="22"/>
        </w:rPr>
      </w:pPr>
    </w:p>
    <w:p w:rsidR="007D7D3B" w:rsidRDefault="00C6083C" w:rsidP="00C63EA7">
      <w:pPr>
        <w:ind w:left="2160"/>
        <w:rPr>
          <w:rFonts w:cs="Arial"/>
          <w:sz w:val="22"/>
          <w:szCs w:val="22"/>
        </w:rPr>
      </w:pPr>
      <w:r>
        <w:rPr>
          <w:rFonts w:cs="Arial"/>
          <w:sz w:val="22"/>
          <w:szCs w:val="22"/>
        </w:rPr>
        <w:t xml:space="preserve">    </w:t>
      </w:r>
    </w:p>
    <w:p w:rsidR="007D7D3B" w:rsidRDefault="007D7D3B" w:rsidP="00C63EA7">
      <w:pPr>
        <w:ind w:left="2160"/>
        <w:rPr>
          <w:rFonts w:cs="Arial"/>
          <w:sz w:val="22"/>
          <w:szCs w:val="22"/>
        </w:rPr>
      </w:pPr>
    </w:p>
    <w:p w:rsidR="00BF7166" w:rsidRPr="00907A55" w:rsidRDefault="00BF7166" w:rsidP="00C63EA7">
      <w:pPr>
        <w:ind w:left="2160"/>
        <w:rPr>
          <w:rFonts w:cs="Arial"/>
          <w:sz w:val="22"/>
          <w:szCs w:val="22"/>
        </w:rPr>
      </w:pPr>
      <w:r w:rsidRPr="00907A55">
        <w:rPr>
          <w:rFonts w:cs="Arial"/>
          <w:sz w:val="22"/>
          <w:szCs w:val="22"/>
        </w:rPr>
        <w:t>SURS, 1901 Fox Drive, Champaign, IL 61820</w:t>
      </w:r>
    </w:p>
    <w:sectPr w:rsidR="00BF7166" w:rsidRPr="00907A55" w:rsidSect="004A53E8">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3D"/>
    <w:rsid w:val="000B5F1C"/>
    <w:rsid w:val="001C0AFC"/>
    <w:rsid w:val="001D7677"/>
    <w:rsid w:val="0033553D"/>
    <w:rsid w:val="00386BA3"/>
    <w:rsid w:val="004A53E8"/>
    <w:rsid w:val="007D7D3B"/>
    <w:rsid w:val="008A23EC"/>
    <w:rsid w:val="008E5BAD"/>
    <w:rsid w:val="00907A55"/>
    <w:rsid w:val="00A44717"/>
    <w:rsid w:val="00BB050E"/>
    <w:rsid w:val="00BF7166"/>
    <w:rsid w:val="00C6083C"/>
    <w:rsid w:val="00C63EA7"/>
    <w:rsid w:val="00C826AD"/>
    <w:rsid w:val="00C9762C"/>
    <w:rsid w:val="00D5061F"/>
    <w:rsid w:val="00DA1733"/>
    <w:rsid w:val="00EA4B78"/>
    <w:rsid w:val="00EB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54893-989B-45D1-92A4-974C2446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553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53D"/>
    <w:pPr>
      <w:spacing w:after="0" w:line="240" w:lineRule="auto"/>
    </w:pPr>
    <w:rPr>
      <w:rFonts w:asciiTheme="minorHAnsi" w:hAnsiTheme="minorHAnsi"/>
    </w:rPr>
  </w:style>
  <w:style w:type="paragraph" w:customStyle="1" w:styleId="Name">
    <w:name w:val="Name"/>
    <w:basedOn w:val="Normal"/>
    <w:next w:val="Normal"/>
    <w:rsid w:val="0033553D"/>
    <w:pPr>
      <w:pBdr>
        <w:bottom w:val="single" w:sz="6" w:space="4" w:color="auto"/>
      </w:pBdr>
      <w:spacing w:after="440" w:line="240" w:lineRule="atLeast"/>
    </w:pPr>
    <w:rPr>
      <w:rFonts w:ascii="Arial Black" w:hAnsi="Arial Black"/>
      <w:spacing w:val="-35"/>
      <w:sz w:val="54"/>
    </w:rPr>
  </w:style>
  <w:style w:type="paragraph" w:styleId="BalloonText">
    <w:name w:val="Balloon Text"/>
    <w:basedOn w:val="Normal"/>
    <w:link w:val="BalloonTextChar"/>
    <w:uiPriority w:val="99"/>
    <w:semiHidden/>
    <w:unhideWhenUsed/>
    <w:rsid w:val="00A44717"/>
    <w:rPr>
      <w:rFonts w:ascii="Tahoma" w:hAnsi="Tahoma" w:cs="Tahoma"/>
      <w:sz w:val="16"/>
      <w:szCs w:val="16"/>
    </w:rPr>
  </w:style>
  <w:style w:type="character" w:customStyle="1" w:styleId="BalloonTextChar">
    <w:name w:val="Balloon Text Char"/>
    <w:basedOn w:val="DefaultParagraphFont"/>
    <w:link w:val="BalloonText"/>
    <w:uiPriority w:val="99"/>
    <w:semiHidden/>
    <w:rsid w:val="00A44717"/>
    <w:rPr>
      <w:rFonts w:ascii="Tahoma" w:eastAsia="Times New Roman" w:hAnsi="Tahoma" w:cs="Tahoma"/>
      <w:sz w:val="16"/>
      <w:szCs w:val="16"/>
    </w:rPr>
  </w:style>
  <w:style w:type="character" w:styleId="Hyperlink">
    <w:name w:val="Hyperlink"/>
    <w:basedOn w:val="DefaultParagraphFont"/>
    <w:uiPriority w:val="99"/>
    <w:unhideWhenUsed/>
    <w:rsid w:val="00EB09AA"/>
    <w:rPr>
      <w:strike w:val="0"/>
      <w:dstrike w:val="0"/>
      <w:color w:val="1E3363"/>
      <w:sz w:val="24"/>
      <w:szCs w:val="24"/>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rson@surs.org" TargetMode="External"/><Relationship Id="rId3" Type="http://schemas.openxmlformats.org/officeDocument/2006/relationships/settings" Target="settings.xml"/><Relationship Id="rId7" Type="http://schemas.openxmlformats.org/officeDocument/2006/relationships/hyperlink" Target="mailto:kcarson@su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6D8B-DAEC-494A-8BF5-EAF5921F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 Spencer</dc:creator>
  <cp:lastModifiedBy>Kruse, Kyla E</cp:lastModifiedBy>
  <cp:revision>2</cp:revision>
  <cp:lastPrinted>2016-06-06T14:06:00Z</cp:lastPrinted>
  <dcterms:created xsi:type="dcterms:W3CDTF">2017-10-13T20:51:00Z</dcterms:created>
  <dcterms:modified xsi:type="dcterms:W3CDTF">2017-10-13T20:51:00Z</dcterms:modified>
</cp:coreProperties>
</file>