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3AD10" w14:textId="41109F19" w:rsidR="008119F9" w:rsidRPr="00AC5207" w:rsidRDefault="00A30505" w:rsidP="06161F20">
      <w:pPr>
        <w:jc w:val="center"/>
        <w:rPr>
          <w:b/>
          <w:bCs/>
          <w:sz w:val="36"/>
          <w:szCs w:val="36"/>
        </w:rPr>
      </w:pPr>
      <w:r w:rsidRPr="00AC5207">
        <w:rPr>
          <w:b/>
          <w:bCs/>
          <w:sz w:val="36"/>
          <w:szCs w:val="36"/>
        </w:rPr>
        <w:t>Learning Outcomes</w:t>
      </w:r>
      <w:r w:rsidR="005555FF" w:rsidRPr="00AC5207">
        <w:rPr>
          <w:b/>
          <w:bCs/>
          <w:sz w:val="36"/>
          <w:szCs w:val="36"/>
        </w:rPr>
        <w:t xml:space="preserve"> Assessment Team</w:t>
      </w:r>
    </w:p>
    <w:p w14:paraId="4D06AD46" w14:textId="3AFD6C19" w:rsidR="6AD3CE65" w:rsidRPr="00AC5207" w:rsidRDefault="6AD3CE65" w:rsidP="6AD3CE65">
      <w:pPr>
        <w:rPr>
          <w:rFonts w:eastAsiaTheme="minorEastAsia"/>
          <w:b/>
          <w:bCs/>
        </w:rPr>
      </w:pPr>
    </w:p>
    <w:p w14:paraId="6EB23F97" w14:textId="0D0A89DB" w:rsidR="000C719A" w:rsidRPr="00A33116" w:rsidRDefault="001B49ED" w:rsidP="06161F20">
      <w:pPr>
        <w:rPr>
          <w:rFonts w:eastAsiaTheme="minorEastAsia"/>
        </w:rPr>
      </w:pPr>
      <w:r w:rsidRPr="00A33116">
        <w:rPr>
          <w:rFonts w:eastAsiaTheme="minorEastAsia"/>
          <w:b/>
          <w:bCs/>
        </w:rPr>
        <w:t>Cabinet Liaison</w:t>
      </w:r>
      <w:r w:rsidR="00FC763E" w:rsidRPr="00A33116">
        <w:rPr>
          <w:rFonts w:eastAsiaTheme="minorEastAsia"/>
          <w:b/>
          <w:bCs/>
        </w:rPr>
        <w:t>s</w:t>
      </w:r>
      <w:r w:rsidR="06161F20" w:rsidRPr="00A33116">
        <w:rPr>
          <w:rFonts w:eastAsiaTheme="minorEastAsia"/>
        </w:rPr>
        <w:t xml:space="preserve">: </w:t>
      </w:r>
      <w:r w:rsidRPr="00A33116">
        <w:rPr>
          <w:rFonts w:eastAsiaTheme="minorEastAsia"/>
        </w:rPr>
        <w:t>Vern Lindquist</w:t>
      </w:r>
      <w:r w:rsidR="00FC763E" w:rsidRPr="00A33116">
        <w:rPr>
          <w:rFonts w:eastAsiaTheme="minorEastAsia"/>
        </w:rPr>
        <w:t xml:space="preserve"> &amp; Judy </w:t>
      </w:r>
      <w:proofErr w:type="spellStart"/>
      <w:r w:rsidR="00FC763E" w:rsidRPr="00A33116">
        <w:rPr>
          <w:rFonts w:eastAsiaTheme="minorEastAsia"/>
        </w:rPr>
        <w:t>Jozaitis</w:t>
      </w:r>
      <w:proofErr w:type="spellEnd"/>
    </w:p>
    <w:p w14:paraId="68574F6D" w14:textId="788F03A0" w:rsidR="00FC763E" w:rsidRPr="00A33116" w:rsidRDefault="00FC763E" w:rsidP="06161F20">
      <w:pPr>
        <w:rPr>
          <w:rFonts w:eastAsiaTheme="minorEastAsia"/>
          <w:color w:val="FF0000"/>
        </w:rPr>
      </w:pPr>
    </w:p>
    <w:p w14:paraId="30052F69" w14:textId="28B58FA6" w:rsidR="000C719A" w:rsidRPr="00A33116" w:rsidRDefault="06161F20" w:rsidP="06161F20">
      <w:pPr>
        <w:rPr>
          <w:rFonts w:eastAsiaTheme="minorEastAsia"/>
        </w:rPr>
      </w:pPr>
      <w:r w:rsidRPr="00A33116">
        <w:rPr>
          <w:rFonts w:eastAsiaTheme="minorEastAsia"/>
          <w:b/>
          <w:bCs/>
        </w:rPr>
        <w:t>Definition/Scope and Purpose</w:t>
      </w:r>
      <w:r w:rsidRPr="00A33116">
        <w:rPr>
          <w:rFonts w:eastAsiaTheme="minorEastAsia"/>
        </w:rPr>
        <w:t>: The purpose of the AAGE Team is to discuss, develop, monitor, and evaluate all aspects of academic assessment. This team is charged with monitoring assessment activities and results, documenting appropriate actions at every level of the institution.</w:t>
      </w:r>
    </w:p>
    <w:p w14:paraId="30CA0874" w14:textId="362D5C89" w:rsidR="6AD3CE65" w:rsidRPr="00A33116" w:rsidRDefault="6AD3CE65" w:rsidP="6AD3CE65">
      <w:pPr>
        <w:rPr>
          <w:rFonts w:eastAsiaTheme="minorEastAsia"/>
        </w:rPr>
      </w:pPr>
    </w:p>
    <w:p w14:paraId="51F8A250" w14:textId="63B45F59" w:rsidR="000C719A" w:rsidRPr="00A33116" w:rsidRDefault="06161F20" w:rsidP="06161F20">
      <w:pPr>
        <w:rPr>
          <w:rFonts w:eastAsiaTheme="minorEastAsia"/>
        </w:rPr>
      </w:pPr>
      <w:r w:rsidRPr="00A33116">
        <w:rPr>
          <w:rFonts w:eastAsiaTheme="minorEastAsia"/>
          <w:b/>
          <w:bCs/>
        </w:rPr>
        <w:t>Team Function</w:t>
      </w:r>
    </w:p>
    <w:p w14:paraId="56C46D6D" w14:textId="308FC088" w:rsidR="001370E1" w:rsidRPr="00A33116" w:rsidRDefault="06161F20" w:rsidP="35EC7108">
      <w:pPr>
        <w:pStyle w:val="ListParagraph"/>
        <w:numPr>
          <w:ilvl w:val="0"/>
          <w:numId w:val="3"/>
        </w:numPr>
      </w:pPr>
      <w:r w:rsidRPr="00A33116">
        <w:rPr>
          <w:rFonts w:eastAsiaTheme="minorEastAsia"/>
        </w:rPr>
        <w:t>Collect and analyze information on institutional success in achieving goals for general education, course- and program-level student outcomes.</w:t>
      </w:r>
    </w:p>
    <w:p w14:paraId="2A9C0B60" w14:textId="531FC2AB" w:rsidR="001370E1" w:rsidRPr="00A33116" w:rsidRDefault="06161F20" w:rsidP="6AD3CE65">
      <w:pPr>
        <w:pStyle w:val="ListParagraph"/>
        <w:numPr>
          <w:ilvl w:val="0"/>
          <w:numId w:val="3"/>
        </w:numPr>
      </w:pPr>
      <w:r w:rsidRPr="00A33116">
        <w:rPr>
          <w:rFonts w:eastAsiaTheme="minorEastAsia"/>
        </w:rPr>
        <w:t xml:space="preserve">Define goals and targets for assessment at all levels. </w:t>
      </w:r>
    </w:p>
    <w:p w14:paraId="6EDFBEDE" w14:textId="76BA934D" w:rsidR="001370E1" w:rsidRPr="00A33116" w:rsidRDefault="06161F20" w:rsidP="6AD3CE65">
      <w:pPr>
        <w:pStyle w:val="ListParagraph"/>
        <w:numPr>
          <w:ilvl w:val="0"/>
          <w:numId w:val="3"/>
        </w:numPr>
      </w:pPr>
      <w:r w:rsidRPr="00A33116">
        <w:rPr>
          <w:rFonts w:eastAsiaTheme="minorEastAsia"/>
        </w:rPr>
        <w:t>Use assessment information to recommend improvements warranted by the data.</w:t>
      </w:r>
    </w:p>
    <w:p w14:paraId="6F020B8E" w14:textId="7CF63E72" w:rsidR="001370E1" w:rsidRPr="00A33116" w:rsidRDefault="06161F20" w:rsidP="6AD3CE65">
      <w:pPr>
        <w:pStyle w:val="ListParagraph"/>
        <w:numPr>
          <w:ilvl w:val="0"/>
          <w:numId w:val="3"/>
        </w:numPr>
      </w:pPr>
      <w:r w:rsidRPr="00A33116">
        <w:rPr>
          <w:rFonts w:eastAsiaTheme="minorEastAsia"/>
        </w:rPr>
        <w:t>Develop and monitor processes for:</w:t>
      </w:r>
    </w:p>
    <w:p w14:paraId="5774BF0D" w14:textId="5EA7A5D3" w:rsidR="00032709" w:rsidRPr="00A33116" w:rsidRDefault="06161F20" w:rsidP="6AD3CE65">
      <w:pPr>
        <w:pStyle w:val="ListParagraph"/>
        <w:numPr>
          <w:ilvl w:val="1"/>
          <w:numId w:val="3"/>
        </w:numPr>
      </w:pPr>
      <w:r w:rsidRPr="00A33116">
        <w:rPr>
          <w:rFonts w:eastAsiaTheme="minorEastAsia"/>
        </w:rPr>
        <w:t xml:space="preserve">Determining the common (general education) and program learning outcomes. (3.B.2; 4.B.4) </w:t>
      </w:r>
    </w:p>
    <w:p w14:paraId="34D22BE4" w14:textId="45C7172D" w:rsidR="00032709" w:rsidRPr="00A33116" w:rsidRDefault="06161F20" w:rsidP="6AD3CE65">
      <w:pPr>
        <w:pStyle w:val="ListParagraph"/>
        <w:numPr>
          <w:ilvl w:val="1"/>
          <w:numId w:val="3"/>
        </w:numPr>
      </w:pPr>
      <w:r w:rsidRPr="00A33116">
        <w:rPr>
          <w:rFonts w:eastAsiaTheme="minorEastAsia"/>
        </w:rPr>
        <w:t xml:space="preserve">Aligning common (general education) and program learning outcomes to the mission, educational offerings, and degree levels of the institution. (3.B.1; 3.E.2) </w:t>
      </w:r>
    </w:p>
    <w:p w14:paraId="7DEA9F51" w14:textId="123279DE" w:rsidR="00032709" w:rsidRPr="00A33116" w:rsidRDefault="06161F20" w:rsidP="6AD3CE65">
      <w:pPr>
        <w:pStyle w:val="ListParagraph"/>
        <w:numPr>
          <w:ilvl w:val="1"/>
          <w:numId w:val="3"/>
        </w:numPr>
      </w:pPr>
      <w:r w:rsidRPr="00A33116">
        <w:rPr>
          <w:rFonts w:eastAsiaTheme="minorEastAsia"/>
        </w:rPr>
        <w:t xml:space="preserve">Ensuring that the common (general education) outcomes remain relevant and aligned with student, workplace, and societal needs. (3.B.4) </w:t>
      </w:r>
    </w:p>
    <w:p w14:paraId="2CEEF04C" w14:textId="273D8067" w:rsidR="00032709" w:rsidRPr="00A33116" w:rsidRDefault="06161F20" w:rsidP="6AD3CE65">
      <w:pPr>
        <w:pStyle w:val="ListParagraph"/>
        <w:numPr>
          <w:ilvl w:val="1"/>
          <w:numId w:val="3"/>
        </w:numPr>
      </w:pPr>
      <w:r w:rsidRPr="00A33116">
        <w:rPr>
          <w:rFonts w:eastAsiaTheme="minorEastAsia"/>
        </w:rPr>
        <w:t xml:space="preserve">Articulating the purpose, content, and level of achievement of common (general education) and program student learning outcomes. (3.B.2; 4.B.1) </w:t>
      </w:r>
    </w:p>
    <w:p w14:paraId="65854F7A" w14:textId="58E8C35E" w:rsidR="00032709" w:rsidRPr="00A33116" w:rsidRDefault="06161F20" w:rsidP="6AD3CE65">
      <w:pPr>
        <w:pStyle w:val="ListParagraph"/>
        <w:numPr>
          <w:ilvl w:val="1"/>
          <w:numId w:val="3"/>
        </w:numPr>
      </w:pPr>
      <w:r w:rsidRPr="00A33116">
        <w:rPr>
          <w:rFonts w:eastAsiaTheme="minorEastAsia"/>
        </w:rPr>
        <w:t xml:space="preserve">Ensuring the outcomes are incorporated into the curriculum so that sufficient opportunities exist for all students to achieve the common (general education) and program learning outcomes. (3.B.3) </w:t>
      </w:r>
    </w:p>
    <w:p w14:paraId="4646DA2E" w14:textId="2AED76F4" w:rsidR="00032709" w:rsidRPr="00A33116" w:rsidRDefault="06161F20" w:rsidP="6AD3CE65">
      <w:pPr>
        <w:pStyle w:val="ListParagraph"/>
        <w:numPr>
          <w:ilvl w:val="1"/>
          <w:numId w:val="3"/>
        </w:numPr>
      </w:pPr>
      <w:r w:rsidRPr="00A33116">
        <w:rPr>
          <w:rFonts w:eastAsiaTheme="minorEastAsia"/>
        </w:rPr>
        <w:t xml:space="preserve">Selecting the methods, tools, or instruments used to assess attainment of common (general education) and program learning outcomes. (4.B.2) </w:t>
      </w:r>
    </w:p>
    <w:p w14:paraId="272CEEE7" w14:textId="7B1E3E94" w:rsidR="00032709" w:rsidRPr="00A33116" w:rsidRDefault="06161F20" w:rsidP="6AD3CE65">
      <w:pPr>
        <w:pStyle w:val="ListParagraph"/>
        <w:numPr>
          <w:ilvl w:val="1"/>
          <w:numId w:val="3"/>
        </w:numPr>
      </w:pPr>
      <w:r w:rsidRPr="00A33116">
        <w:rPr>
          <w:rFonts w:eastAsiaTheme="minorEastAsia"/>
        </w:rPr>
        <w:t xml:space="preserve">Assessing common (general education) and program student learning outcomes. (4.B.1; 4.B.2; 4.B.4) </w:t>
      </w:r>
    </w:p>
    <w:p w14:paraId="01D5E5BE" w14:textId="200C6725" w:rsidR="00032709" w:rsidRPr="00A33116" w:rsidRDefault="06161F20" w:rsidP="6AD3CE65">
      <w:pPr>
        <w:pStyle w:val="ListParagraph"/>
        <w:numPr>
          <w:ilvl w:val="1"/>
          <w:numId w:val="3"/>
        </w:numPr>
      </w:pPr>
      <w:r w:rsidRPr="00A33116">
        <w:rPr>
          <w:rFonts w:eastAsiaTheme="minorEastAsia"/>
        </w:rPr>
        <w:t xml:space="preserve">Assessing the level of outcomes attained by graduates at all levels. (3.A.2) </w:t>
      </w:r>
    </w:p>
    <w:p w14:paraId="05DB6AFD" w14:textId="10917C3D" w:rsidR="00032709" w:rsidRPr="00A33116" w:rsidRDefault="06161F20" w:rsidP="6AD3CE65">
      <w:pPr>
        <w:pStyle w:val="ListParagraph"/>
        <w:numPr>
          <w:ilvl w:val="1"/>
          <w:numId w:val="3"/>
        </w:numPr>
      </w:pPr>
      <w:r w:rsidRPr="00A33116">
        <w:rPr>
          <w:rFonts w:eastAsiaTheme="minorEastAsia"/>
        </w:rPr>
        <w:t>Reporting improvements resulting from assessment of common (general education) and program learning assessment. (i.e. documenting what changes were made from assessment results) (4.B.3)</w:t>
      </w:r>
    </w:p>
    <w:p w14:paraId="6EF5EB53" w14:textId="06345CC6" w:rsidR="06161F20" w:rsidRPr="00A33116" w:rsidRDefault="06161F20" w:rsidP="06161F20">
      <w:pPr>
        <w:pStyle w:val="ListParagraph"/>
        <w:numPr>
          <w:ilvl w:val="1"/>
          <w:numId w:val="3"/>
        </w:numPr>
      </w:pPr>
      <w:r w:rsidRPr="00A33116">
        <w:rPr>
          <w:rFonts w:eastAsiaTheme="minorEastAsia"/>
        </w:rPr>
        <w:t>Ensuring substantial participation of faculty, and that the methodologies used reflect good practice. (4.B.4)</w:t>
      </w:r>
    </w:p>
    <w:p w14:paraId="73B288C3" w14:textId="77777777" w:rsidR="008B7EE6" w:rsidRPr="00A33116" w:rsidRDefault="008B7EE6" w:rsidP="6AD3CE65">
      <w:pPr>
        <w:pStyle w:val="ListParagraph"/>
        <w:ind w:left="0"/>
        <w:rPr>
          <w:b/>
          <w:bCs/>
        </w:rPr>
      </w:pPr>
    </w:p>
    <w:p w14:paraId="55390ED3" w14:textId="2335A757" w:rsidR="6AD3CE65" w:rsidRPr="00A33116" w:rsidRDefault="06161F20" w:rsidP="6AD3CE65">
      <w:pPr>
        <w:pStyle w:val="ListParagraph"/>
        <w:ind w:left="0"/>
        <w:rPr>
          <w:b/>
          <w:bCs/>
        </w:rPr>
      </w:pPr>
      <w:r w:rsidRPr="00A33116">
        <w:rPr>
          <w:b/>
          <w:bCs/>
        </w:rPr>
        <w:t>Team Membership</w:t>
      </w:r>
    </w:p>
    <w:p w14:paraId="5C6169E1" w14:textId="7C9BD0CD" w:rsidR="008B7EE6" w:rsidRPr="00A33116" w:rsidRDefault="008B7EE6" w:rsidP="6AD3CE65">
      <w:pPr>
        <w:pStyle w:val="ListParagraph"/>
        <w:ind w:left="0"/>
        <w:rPr>
          <w:color w:val="FF0000"/>
        </w:rPr>
      </w:pPr>
      <w:r w:rsidRPr="00A33116">
        <w:t>Team Chair – Colin Suchland</w:t>
      </w:r>
    </w:p>
    <w:p w14:paraId="36036EB0" w14:textId="77777777" w:rsidR="00D934E9" w:rsidRPr="00A33116" w:rsidRDefault="00D934E9" w:rsidP="001B49ED">
      <w:pPr>
        <w:pStyle w:val="ListParagraph"/>
        <w:numPr>
          <w:ilvl w:val="0"/>
          <w:numId w:val="4"/>
        </w:numPr>
        <w:sectPr w:rsidR="00D934E9" w:rsidRPr="00A33116" w:rsidSect="00E7583C">
          <w:pgSz w:w="12240" w:h="15840"/>
          <w:pgMar w:top="1440" w:right="1440" w:bottom="1440" w:left="1440" w:header="720" w:footer="720" w:gutter="0"/>
          <w:cols w:space="720"/>
          <w:docGrid w:linePitch="326"/>
        </w:sectPr>
      </w:pPr>
    </w:p>
    <w:p w14:paraId="50698E02" w14:textId="2862A88A" w:rsidR="001B49ED" w:rsidRPr="00A33116" w:rsidRDefault="001B49ED" w:rsidP="00D934E9">
      <w:pPr>
        <w:pStyle w:val="ListParagraph"/>
        <w:numPr>
          <w:ilvl w:val="0"/>
          <w:numId w:val="4"/>
        </w:numPr>
        <w:rPr>
          <w:rFonts w:eastAsia="Times New Roman" w:cs="Times New Roman"/>
        </w:rPr>
      </w:pPr>
      <w:r w:rsidRPr="00A33116">
        <w:rPr>
          <w:rFonts w:eastAsia="Times New Roman" w:cs="Times New Roman"/>
        </w:rPr>
        <w:t xml:space="preserve">Faculty Chair (1) </w:t>
      </w:r>
    </w:p>
    <w:p w14:paraId="68EC0D13" w14:textId="77777777" w:rsidR="00C079D7" w:rsidRPr="00A33116" w:rsidRDefault="00C079D7" w:rsidP="00C079D7">
      <w:pPr>
        <w:pStyle w:val="ListParagraph"/>
        <w:numPr>
          <w:ilvl w:val="0"/>
          <w:numId w:val="4"/>
        </w:numPr>
        <w:rPr>
          <w:rFonts w:eastAsia="Times New Roman" w:cs="Times New Roman"/>
        </w:rPr>
      </w:pPr>
      <w:r w:rsidRPr="00A33116">
        <w:rPr>
          <w:rFonts w:eastAsia="Times New Roman" w:cs="Times New Roman"/>
        </w:rPr>
        <w:t xml:space="preserve">Faculty Reps (5) </w:t>
      </w:r>
    </w:p>
    <w:p w14:paraId="1A4D94C9" w14:textId="75875A22" w:rsidR="001B49ED" w:rsidRPr="00A33116" w:rsidRDefault="001B49ED" w:rsidP="00BD3DF3">
      <w:pPr>
        <w:pStyle w:val="ListParagraph"/>
        <w:numPr>
          <w:ilvl w:val="0"/>
          <w:numId w:val="4"/>
        </w:numPr>
        <w:rPr>
          <w:rFonts w:eastAsia="Times New Roman" w:cs="Times New Roman"/>
        </w:rPr>
      </w:pPr>
      <w:r w:rsidRPr="00A33116">
        <w:rPr>
          <w:rFonts w:eastAsia="Times New Roman" w:cs="Times New Roman"/>
        </w:rPr>
        <w:t>Departmental Assessment</w:t>
      </w:r>
      <w:r w:rsidR="00C079D7" w:rsidRPr="00A33116">
        <w:rPr>
          <w:rFonts w:eastAsia="Times New Roman" w:cs="Times New Roman"/>
        </w:rPr>
        <w:t xml:space="preserve"> Coord</w:t>
      </w:r>
      <w:r w:rsidRPr="00A33116">
        <w:rPr>
          <w:rFonts w:eastAsia="Times New Roman" w:cs="Times New Roman"/>
        </w:rPr>
        <w:t xml:space="preserve">inators </w:t>
      </w:r>
      <w:r w:rsidR="00C079D7" w:rsidRPr="00A33116">
        <w:rPr>
          <w:rFonts w:eastAsia="Times New Roman" w:cs="Times New Roman"/>
        </w:rPr>
        <w:t>(</w:t>
      </w:r>
      <w:r w:rsidRPr="00A33116">
        <w:rPr>
          <w:rFonts w:eastAsia="Times New Roman" w:cs="Times New Roman"/>
        </w:rPr>
        <w:t>5)</w:t>
      </w:r>
    </w:p>
    <w:p w14:paraId="5118219E" w14:textId="4D306AB6" w:rsidR="00C079D7" w:rsidRPr="00A33116" w:rsidRDefault="00C079D7" w:rsidP="00C079D7">
      <w:pPr>
        <w:rPr>
          <w:rFonts w:eastAsia="Times New Roman" w:cs="Times New Roman"/>
        </w:rPr>
      </w:pPr>
    </w:p>
    <w:p w14:paraId="557AB1EA" w14:textId="5F084A21" w:rsidR="00C079D7" w:rsidRPr="00A33116" w:rsidRDefault="00C079D7" w:rsidP="00C079D7">
      <w:pPr>
        <w:rPr>
          <w:rFonts w:eastAsia="Times New Roman" w:cs="Times New Roman"/>
        </w:rPr>
      </w:pPr>
    </w:p>
    <w:p w14:paraId="5C10B1F2" w14:textId="07878894" w:rsidR="00C079D7" w:rsidRPr="00A33116" w:rsidRDefault="00C079D7" w:rsidP="00C079D7">
      <w:pPr>
        <w:rPr>
          <w:rFonts w:eastAsia="Times New Roman" w:cs="Times New Roman"/>
        </w:rPr>
      </w:pPr>
    </w:p>
    <w:p w14:paraId="758F4C4F" w14:textId="77777777" w:rsidR="00C079D7" w:rsidRPr="00A33116" w:rsidRDefault="00C079D7" w:rsidP="00C079D7">
      <w:pPr>
        <w:rPr>
          <w:rFonts w:eastAsia="Times New Roman" w:cs="Times New Roman"/>
        </w:rPr>
      </w:pPr>
    </w:p>
    <w:p w14:paraId="5E84FF30" w14:textId="156F7BE5" w:rsidR="00602FB9" w:rsidRPr="00A33116" w:rsidRDefault="001B49ED" w:rsidP="00E550B0">
      <w:pPr>
        <w:pStyle w:val="ListParagraph"/>
        <w:numPr>
          <w:ilvl w:val="0"/>
          <w:numId w:val="4"/>
        </w:numPr>
        <w:rPr>
          <w:rFonts w:eastAsia="Times New Roman" w:cs="Times New Roman"/>
        </w:rPr>
      </w:pPr>
      <w:r w:rsidRPr="00A33116">
        <w:rPr>
          <w:rFonts w:eastAsia="Times New Roman" w:cs="Times New Roman"/>
        </w:rPr>
        <w:lastRenderedPageBreak/>
        <w:t>Academic Dean (1</w:t>
      </w:r>
      <w:r w:rsidR="0096396E" w:rsidRPr="00A33116">
        <w:rPr>
          <w:rFonts w:eastAsia="Times New Roman" w:cs="Times New Roman"/>
        </w:rPr>
        <w:t>)</w:t>
      </w:r>
    </w:p>
    <w:p w14:paraId="60108110" w14:textId="2C5F2E03" w:rsidR="00C079D7" w:rsidRPr="00A33116" w:rsidRDefault="00C079D7" w:rsidP="00547998">
      <w:pPr>
        <w:pStyle w:val="ListParagraph"/>
        <w:numPr>
          <w:ilvl w:val="0"/>
          <w:numId w:val="4"/>
        </w:numPr>
        <w:rPr>
          <w:rFonts w:eastAsia="Times New Roman" w:cs="Times New Roman"/>
        </w:rPr>
      </w:pPr>
      <w:r w:rsidRPr="00A33116">
        <w:rPr>
          <w:rFonts w:eastAsia="Times New Roman" w:cs="Times New Roman"/>
        </w:rPr>
        <w:t>AVP Academics (1)</w:t>
      </w:r>
    </w:p>
    <w:p w14:paraId="5A74F404" w14:textId="796772CA" w:rsidR="00C079D7" w:rsidRPr="00A33116" w:rsidRDefault="00C079D7" w:rsidP="00C079D7">
      <w:pPr>
        <w:pStyle w:val="ListParagraph"/>
        <w:numPr>
          <w:ilvl w:val="0"/>
          <w:numId w:val="4"/>
        </w:numPr>
        <w:rPr>
          <w:rFonts w:eastAsia="Times New Roman" w:cs="Times New Roman"/>
        </w:rPr>
      </w:pPr>
      <w:r w:rsidRPr="00A33116">
        <w:rPr>
          <w:rFonts w:eastAsia="Times New Roman" w:cs="Times New Roman"/>
        </w:rPr>
        <w:t>Student (1)</w:t>
      </w:r>
    </w:p>
    <w:p w14:paraId="1AA75957" w14:textId="725A2C49" w:rsidR="00C079D7" w:rsidRPr="00A33116" w:rsidRDefault="00C079D7" w:rsidP="00C079D7">
      <w:pPr>
        <w:pStyle w:val="ListParagraph"/>
        <w:numPr>
          <w:ilvl w:val="0"/>
          <w:numId w:val="4"/>
        </w:numPr>
        <w:rPr>
          <w:rFonts w:eastAsia="Times New Roman" w:cs="Times New Roman"/>
        </w:rPr>
      </w:pPr>
      <w:r w:rsidRPr="00A33116">
        <w:rPr>
          <w:rFonts w:eastAsia="Times New Roman" w:cs="Times New Roman"/>
        </w:rPr>
        <w:t>IR (1)</w:t>
      </w:r>
    </w:p>
    <w:p w14:paraId="0861D619" w14:textId="77777777" w:rsidR="00C079D7" w:rsidRPr="00A33116" w:rsidRDefault="00C079D7" w:rsidP="00C079D7">
      <w:pPr>
        <w:pStyle w:val="ListParagraph"/>
        <w:rPr>
          <w:rFonts w:eastAsia="Times New Roman" w:cs="Times New Roman"/>
        </w:rPr>
      </w:pPr>
    </w:p>
    <w:p w14:paraId="5C74F788" w14:textId="1137555C" w:rsidR="00C079D7" w:rsidRPr="00A33116" w:rsidRDefault="00C079D7" w:rsidP="00C079D7">
      <w:pPr>
        <w:pStyle w:val="ListParagraph"/>
        <w:rPr>
          <w:rFonts w:eastAsia="Times New Roman" w:cs="Times New Roman"/>
        </w:rPr>
      </w:pPr>
    </w:p>
    <w:p w14:paraId="103BAD53" w14:textId="77777777" w:rsidR="00C079D7" w:rsidRPr="00A33116" w:rsidRDefault="00C079D7" w:rsidP="00C079D7">
      <w:pPr>
        <w:pStyle w:val="ListParagraph"/>
        <w:rPr>
          <w:rFonts w:eastAsia="Times New Roman" w:cs="Times New Roman"/>
        </w:rPr>
      </w:pPr>
    </w:p>
    <w:p w14:paraId="755EB7D5" w14:textId="77777777" w:rsidR="00C079D7" w:rsidRPr="00A33116" w:rsidRDefault="00C079D7" w:rsidP="00C079D7">
      <w:pPr>
        <w:pStyle w:val="ListParagraph"/>
        <w:rPr>
          <w:rFonts w:eastAsia="Times New Roman" w:cs="Times New Roman"/>
        </w:rPr>
      </w:pPr>
    </w:p>
    <w:p w14:paraId="4CA28428" w14:textId="77777777" w:rsidR="00D934E9" w:rsidRPr="00A33116" w:rsidRDefault="00D934E9" w:rsidP="00C079D7">
      <w:pPr>
        <w:sectPr w:rsidR="00D934E9" w:rsidRPr="00A33116" w:rsidSect="00D934E9">
          <w:type w:val="continuous"/>
          <w:pgSz w:w="12240" w:h="15840"/>
          <w:pgMar w:top="1440" w:right="1440" w:bottom="1440" w:left="1440" w:header="720" w:footer="720" w:gutter="0"/>
          <w:cols w:num="2" w:space="720"/>
          <w:docGrid w:linePitch="326"/>
        </w:sectPr>
      </w:pPr>
    </w:p>
    <w:p w14:paraId="1FF013FD" w14:textId="66EBE458" w:rsidR="6189EC6E" w:rsidRPr="00A33116" w:rsidRDefault="6189EC6E" w:rsidP="6189EC6E">
      <w:pPr>
        <w:ind w:left="360"/>
      </w:pPr>
    </w:p>
    <w:p w14:paraId="02A3F8F0" w14:textId="6791B10E" w:rsidR="00E550B0" w:rsidRPr="00A33116" w:rsidRDefault="00E550B0" w:rsidP="6189EC6E">
      <w:pPr>
        <w:ind w:left="360"/>
      </w:pPr>
    </w:p>
    <w:p w14:paraId="672487F3" w14:textId="77777777" w:rsidR="00AC5207" w:rsidRPr="00A33116" w:rsidRDefault="0096396E" w:rsidP="00E550B0">
      <w:r w:rsidRPr="00A33116">
        <w:t>*</w:t>
      </w:r>
      <w:r w:rsidR="00E550B0" w:rsidRPr="00A33116">
        <w:t>The Curriculum/Standards Committee will serv</w:t>
      </w:r>
      <w:r w:rsidRPr="00A33116">
        <w:t>e</w:t>
      </w:r>
      <w:r w:rsidR="00E550B0" w:rsidRPr="00A33116">
        <w:t xml:space="preserve"> as a committee reporting to the Faculty Senate.  </w:t>
      </w:r>
      <w:r w:rsidR="00C86D39" w:rsidRPr="00A33116">
        <w:t xml:space="preserve">The membership structure will </w:t>
      </w:r>
      <w:r w:rsidR="00AC5207" w:rsidRPr="00A33116">
        <w:t>be the same as the current Standards Committee</w:t>
      </w:r>
      <w:r w:rsidR="00C86D39" w:rsidRPr="00A33116">
        <w:t>.</w:t>
      </w:r>
    </w:p>
    <w:p w14:paraId="229DB192" w14:textId="1F276AB3" w:rsidR="00E550B0" w:rsidRPr="00A33116" w:rsidRDefault="00AC5207" w:rsidP="00E550B0">
      <w:r w:rsidRPr="00A33116">
        <w:t>Ryan Roberts will chair.</w:t>
      </w:r>
      <w:r w:rsidR="00C86D39" w:rsidRPr="00A33116">
        <w:t xml:space="preserve"> </w:t>
      </w:r>
      <w:bookmarkStart w:id="0" w:name="_GoBack"/>
      <w:bookmarkEnd w:id="0"/>
    </w:p>
    <w:sectPr w:rsidR="00E550B0" w:rsidRPr="00A33116" w:rsidSect="00D934E9">
      <w:type w:val="continuous"/>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E3997"/>
    <w:multiLevelType w:val="hybridMultilevel"/>
    <w:tmpl w:val="36B65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691619"/>
    <w:multiLevelType w:val="hybridMultilevel"/>
    <w:tmpl w:val="DEF4B6AA"/>
    <w:lvl w:ilvl="0" w:tplc="09764904">
      <w:start w:val="1"/>
      <w:numFmt w:val="bullet"/>
      <w:lvlText w:val=""/>
      <w:lvlJc w:val="left"/>
      <w:pPr>
        <w:ind w:left="720" w:hanging="360"/>
      </w:pPr>
      <w:rPr>
        <w:rFonts w:ascii="Symbol" w:hAnsi="Symbol" w:hint="default"/>
      </w:rPr>
    </w:lvl>
    <w:lvl w:ilvl="1" w:tplc="6B46C232">
      <w:start w:val="1"/>
      <w:numFmt w:val="bullet"/>
      <w:lvlText w:val="o"/>
      <w:lvlJc w:val="left"/>
      <w:pPr>
        <w:ind w:left="1440" w:hanging="360"/>
      </w:pPr>
      <w:rPr>
        <w:rFonts w:ascii="Courier New" w:hAnsi="Courier New" w:hint="default"/>
      </w:rPr>
    </w:lvl>
    <w:lvl w:ilvl="2" w:tplc="825C76CA">
      <w:start w:val="1"/>
      <w:numFmt w:val="bullet"/>
      <w:lvlText w:val=""/>
      <w:lvlJc w:val="left"/>
      <w:pPr>
        <w:ind w:left="2160" w:hanging="360"/>
      </w:pPr>
      <w:rPr>
        <w:rFonts w:ascii="Wingdings" w:hAnsi="Wingdings" w:hint="default"/>
      </w:rPr>
    </w:lvl>
    <w:lvl w:ilvl="3" w:tplc="AF7A882E">
      <w:start w:val="1"/>
      <w:numFmt w:val="bullet"/>
      <w:lvlText w:val=""/>
      <w:lvlJc w:val="left"/>
      <w:pPr>
        <w:ind w:left="2880" w:hanging="360"/>
      </w:pPr>
      <w:rPr>
        <w:rFonts w:ascii="Symbol" w:hAnsi="Symbol" w:hint="default"/>
      </w:rPr>
    </w:lvl>
    <w:lvl w:ilvl="4" w:tplc="DBDC3A0E">
      <w:start w:val="1"/>
      <w:numFmt w:val="bullet"/>
      <w:lvlText w:val="o"/>
      <w:lvlJc w:val="left"/>
      <w:pPr>
        <w:ind w:left="3600" w:hanging="360"/>
      </w:pPr>
      <w:rPr>
        <w:rFonts w:ascii="Courier New" w:hAnsi="Courier New" w:hint="default"/>
      </w:rPr>
    </w:lvl>
    <w:lvl w:ilvl="5" w:tplc="A6A8F214">
      <w:start w:val="1"/>
      <w:numFmt w:val="bullet"/>
      <w:lvlText w:val=""/>
      <w:lvlJc w:val="left"/>
      <w:pPr>
        <w:ind w:left="4320" w:hanging="360"/>
      </w:pPr>
      <w:rPr>
        <w:rFonts w:ascii="Wingdings" w:hAnsi="Wingdings" w:hint="default"/>
      </w:rPr>
    </w:lvl>
    <w:lvl w:ilvl="6" w:tplc="73DE72AE">
      <w:start w:val="1"/>
      <w:numFmt w:val="bullet"/>
      <w:lvlText w:val=""/>
      <w:lvlJc w:val="left"/>
      <w:pPr>
        <w:ind w:left="5040" w:hanging="360"/>
      </w:pPr>
      <w:rPr>
        <w:rFonts w:ascii="Symbol" w:hAnsi="Symbol" w:hint="default"/>
      </w:rPr>
    </w:lvl>
    <w:lvl w:ilvl="7" w:tplc="1E7C012E">
      <w:start w:val="1"/>
      <w:numFmt w:val="bullet"/>
      <w:lvlText w:val="o"/>
      <w:lvlJc w:val="left"/>
      <w:pPr>
        <w:ind w:left="5760" w:hanging="360"/>
      </w:pPr>
      <w:rPr>
        <w:rFonts w:ascii="Courier New" w:hAnsi="Courier New" w:hint="default"/>
      </w:rPr>
    </w:lvl>
    <w:lvl w:ilvl="8" w:tplc="C346EFBC">
      <w:start w:val="1"/>
      <w:numFmt w:val="bullet"/>
      <w:lvlText w:val=""/>
      <w:lvlJc w:val="left"/>
      <w:pPr>
        <w:ind w:left="6480" w:hanging="360"/>
      </w:pPr>
      <w:rPr>
        <w:rFonts w:ascii="Wingdings" w:hAnsi="Wingdings" w:hint="default"/>
      </w:rPr>
    </w:lvl>
  </w:abstractNum>
  <w:abstractNum w:abstractNumId="2" w15:restartNumberingAfterBreak="0">
    <w:nsid w:val="2BDB2F8F"/>
    <w:multiLevelType w:val="hybridMultilevel"/>
    <w:tmpl w:val="51D27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6C580E"/>
    <w:multiLevelType w:val="hybridMultilevel"/>
    <w:tmpl w:val="7438E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83C"/>
    <w:rsid w:val="000320CD"/>
    <w:rsid w:val="00032709"/>
    <w:rsid w:val="000B0D80"/>
    <w:rsid w:val="000C1362"/>
    <w:rsid w:val="000C719A"/>
    <w:rsid w:val="000D069E"/>
    <w:rsid w:val="001125B3"/>
    <w:rsid w:val="001370E1"/>
    <w:rsid w:val="001B49ED"/>
    <w:rsid w:val="0024409E"/>
    <w:rsid w:val="003169D7"/>
    <w:rsid w:val="00337D61"/>
    <w:rsid w:val="00341F56"/>
    <w:rsid w:val="003510FC"/>
    <w:rsid w:val="003F121C"/>
    <w:rsid w:val="00402500"/>
    <w:rsid w:val="00432C0E"/>
    <w:rsid w:val="00495139"/>
    <w:rsid w:val="004D47A6"/>
    <w:rsid w:val="004F30E4"/>
    <w:rsid w:val="00546D3A"/>
    <w:rsid w:val="005555FF"/>
    <w:rsid w:val="005B0F5A"/>
    <w:rsid w:val="005D4B5B"/>
    <w:rsid w:val="00602FB9"/>
    <w:rsid w:val="0070399C"/>
    <w:rsid w:val="0070553B"/>
    <w:rsid w:val="00771EEB"/>
    <w:rsid w:val="008A5C14"/>
    <w:rsid w:val="008B7EE6"/>
    <w:rsid w:val="008C4B07"/>
    <w:rsid w:val="0096396E"/>
    <w:rsid w:val="00975B2A"/>
    <w:rsid w:val="009F478D"/>
    <w:rsid w:val="00A30505"/>
    <w:rsid w:val="00A33116"/>
    <w:rsid w:val="00A61904"/>
    <w:rsid w:val="00AC5207"/>
    <w:rsid w:val="00AD4012"/>
    <w:rsid w:val="00B55800"/>
    <w:rsid w:val="00B6409A"/>
    <w:rsid w:val="00C079D7"/>
    <w:rsid w:val="00C07D0A"/>
    <w:rsid w:val="00C70DC3"/>
    <w:rsid w:val="00C86D39"/>
    <w:rsid w:val="00D20598"/>
    <w:rsid w:val="00D934E9"/>
    <w:rsid w:val="00E550B0"/>
    <w:rsid w:val="00E7583C"/>
    <w:rsid w:val="00FA1E9A"/>
    <w:rsid w:val="00FC12D8"/>
    <w:rsid w:val="00FC763E"/>
    <w:rsid w:val="06161F20"/>
    <w:rsid w:val="18A206A5"/>
    <w:rsid w:val="195CB251"/>
    <w:rsid w:val="3005F410"/>
    <w:rsid w:val="35EC7108"/>
    <w:rsid w:val="38C60650"/>
    <w:rsid w:val="40CBF0CD"/>
    <w:rsid w:val="4B35B91B"/>
    <w:rsid w:val="4E8EFB49"/>
    <w:rsid w:val="6189EC6E"/>
    <w:rsid w:val="6ACC23BC"/>
    <w:rsid w:val="6AD3CE65"/>
    <w:rsid w:val="76587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CB251"/>
  <w14:defaultImageDpi w14:val="32767"/>
  <w15:chartTrackingRefBased/>
  <w15:docId w15:val="{AE8FD019-D3E1-4CEB-8739-9C9ED9561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19A"/>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A1E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E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9980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0021B35-FF65-4F83-8EAE-0F7A965B9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Lesley J</dc:creator>
  <cp:keywords/>
  <dc:description/>
  <cp:lastModifiedBy>Warren, Charlotte J</cp:lastModifiedBy>
  <cp:revision>3</cp:revision>
  <cp:lastPrinted>2018-05-08T13:13:00Z</cp:lastPrinted>
  <dcterms:created xsi:type="dcterms:W3CDTF">2018-05-08T20:15:00Z</dcterms:created>
  <dcterms:modified xsi:type="dcterms:W3CDTF">2018-05-08T20:39:00Z</dcterms:modified>
</cp:coreProperties>
</file>