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EC4C52E" w:rsidR="00BE74AC" w:rsidRPr="004217FC" w:rsidRDefault="1A658BAD" w:rsidP="1A658BAD">
      <w:pPr>
        <w:spacing w:after="0" w:line="240" w:lineRule="auto"/>
        <w:jc w:val="center"/>
        <w:rPr>
          <w:b/>
          <w:bCs/>
          <w:sz w:val="36"/>
          <w:szCs w:val="36"/>
        </w:rPr>
      </w:pPr>
      <w:bookmarkStart w:id="0" w:name="_GoBack"/>
      <w:bookmarkEnd w:id="0"/>
      <w:r w:rsidRPr="004217FC">
        <w:rPr>
          <w:b/>
          <w:bCs/>
          <w:sz w:val="36"/>
          <w:szCs w:val="36"/>
        </w:rPr>
        <w:t>Campus Climate Team</w:t>
      </w:r>
    </w:p>
    <w:p w14:paraId="3E28A728" w14:textId="368A749A" w:rsidR="1A658BAD" w:rsidRPr="004217FC" w:rsidRDefault="1A658BAD" w:rsidP="1A658BAD">
      <w:pPr>
        <w:spacing w:after="0" w:line="240" w:lineRule="auto"/>
        <w:rPr>
          <w:rFonts w:eastAsiaTheme="minorEastAsia"/>
          <w:b/>
          <w:bCs/>
          <w:sz w:val="24"/>
          <w:szCs w:val="24"/>
        </w:rPr>
      </w:pPr>
    </w:p>
    <w:p w14:paraId="403C330D" w14:textId="18EEC98E" w:rsidR="1A658BAD" w:rsidRPr="004217FC" w:rsidRDefault="00530E64" w:rsidP="1A658BAD">
      <w:pPr>
        <w:spacing w:after="0" w:line="240" w:lineRule="auto"/>
        <w:rPr>
          <w:rFonts w:eastAsiaTheme="minorEastAsia"/>
          <w:b/>
          <w:bCs/>
          <w:sz w:val="24"/>
          <w:szCs w:val="24"/>
        </w:rPr>
      </w:pPr>
      <w:r w:rsidRPr="004217FC">
        <w:rPr>
          <w:rFonts w:eastAsiaTheme="minorEastAsia"/>
          <w:b/>
          <w:bCs/>
          <w:sz w:val="24"/>
          <w:szCs w:val="24"/>
        </w:rPr>
        <w:t>Cabinet Liaison</w:t>
      </w:r>
      <w:r w:rsidR="1A658BAD" w:rsidRPr="004217FC">
        <w:rPr>
          <w:rFonts w:eastAsiaTheme="minorEastAsia"/>
          <w:b/>
          <w:bCs/>
          <w:sz w:val="24"/>
          <w:szCs w:val="24"/>
        </w:rPr>
        <w:t>:</w:t>
      </w:r>
      <w:r w:rsidR="1A658BAD" w:rsidRPr="004217FC">
        <w:rPr>
          <w:rFonts w:eastAsiaTheme="minorEastAsia"/>
          <w:sz w:val="24"/>
          <w:szCs w:val="24"/>
        </w:rPr>
        <w:t xml:space="preserve"> </w:t>
      </w:r>
      <w:r w:rsidRPr="004217FC">
        <w:rPr>
          <w:rFonts w:eastAsiaTheme="minorEastAsia"/>
          <w:sz w:val="24"/>
          <w:szCs w:val="24"/>
        </w:rPr>
        <w:t>Todd McDonald &amp; Lesley Frederick</w:t>
      </w:r>
    </w:p>
    <w:p w14:paraId="66BD949B" w14:textId="2690D022" w:rsidR="1A658BAD" w:rsidRPr="004217FC" w:rsidRDefault="1A658BAD" w:rsidP="1A658BAD">
      <w:pPr>
        <w:spacing w:after="0" w:line="240" w:lineRule="auto"/>
        <w:rPr>
          <w:rFonts w:eastAsiaTheme="minorEastAsia"/>
          <w:b/>
          <w:bCs/>
          <w:sz w:val="24"/>
          <w:szCs w:val="24"/>
        </w:rPr>
      </w:pPr>
    </w:p>
    <w:p w14:paraId="252E5D0D" w14:textId="5083348A" w:rsidR="689F37A8" w:rsidRPr="004217FC" w:rsidRDefault="4E0BC4CE" w:rsidP="4E0BC4CE">
      <w:pPr>
        <w:spacing w:after="0" w:line="240" w:lineRule="auto"/>
        <w:rPr>
          <w:rFonts w:eastAsiaTheme="minorEastAsia"/>
          <w:sz w:val="24"/>
          <w:szCs w:val="24"/>
        </w:rPr>
      </w:pPr>
      <w:r w:rsidRPr="004217FC">
        <w:rPr>
          <w:rFonts w:eastAsiaTheme="minorEastAsia"/>
          <w:b/>
          <w:bCs/>
          <w:sz w:val="24"/>
          <w:szCs w:val="24"/>
        </w:rPr>
        <w:t>Definition/Scope and Purpose:</w:t>
      </w:r>
      <w:r w:rsidRPr="004217FC">
        <w:rPr>
          <w:rFonts w:eastAsiaTheme="minorEastAsia"/>
          <w:sz w:val="24"/>
          <w:szCs w:val="24"/>
        </w:rPr>
        <w:t xml:space="preserve"> The purpose of the Campus Climate Team is to develop monitor, and evaluate all aspects relating to employee engagement, development, safety, inclusivity, and recognition. This team is charged with shaping campus climate to support the institution's strategic goals and values. </w:t>
      </w:r>
    </w:p>
    <w:p w14:paraId="5DD371A2" w14:textId="09933433" w:rsidR="1A658BAD" w:rsidRPr="004217FC" w:rsidRDefault="1A658BAD" w:rsidP="1A658BAD">
      <w:pPr>
        <w:spacing w:after="0" w:line="240" w:lineRule="auto"/>
        <w:rPr>
          <w:rFonts w:eastAsiaTheme="minorEastAsia"/>
          <w:b/>
          <w:bCs/>
          <w:sz w:val="24"/>
          <w:szCs w:val="24"/>
        </w:rPr>
      </w:pPr>
    </w:p>
    <w:p w14:paraId="3AA5FF9B" w14:textId="77777777" w:rsidR="00BE74AC" w:rsidRPr="004217FC" w:rsidRDefault="1A658BAD" w:rsidP="1A658BAD">
      <w:pPr>
        <w:spacing w:after="0" w:line="240" w:lineRule="auto"/>
        <w:rPr>
          <w:rFonts w:eastAsiaTheme="minorEastAsia"/>
          <w:b/>
          <w:bCs/>
          <w:sz w:val="24"/>
          <w:szCs w:val="24"/>
        </w:rPr>
      </w:pPr>
      <w:r w:rsidRPr="004217FC">
        <w:rPr>
          <w:rFonts w:eastAsiaTheme="minorEastAsia"/>
          <w:b/>
          <w:bCs/>
          <w:sz w:val="24"/>
          <w:szCs w:val="24"/>
        </w:rPr>
        <w:t xml:space="preserve">Team Function </w:t>
      </w:r>
    </w:p>
    <w:p w14:paraId="598A5DF5" w14:textId="0D558D4E" w:rsidR="689F37A8" w:rsidRPr="004217FC" w:rsidRDefault="5DAC3203" w:rsidP="5DAC3203">
      <w:pPr>
        <w:pStyle w:val="ListParagraph"/>
        <w:numPr>
          <w:ilvl w:val="0"/>
          <w:numId w:val="2"/>
        </w:numPr>
        <w:spacing w:after="0" w:line="240" w:lineRule="auto"/>
        <w:rPr>
          <w:sz w:val="24"/>
          <w:szCs w:val="24"/>
        </w:rPr>
      </w:pPr>
      <w:r w:rsidRPr="004217FC">
        <w:rPr>
          <w:rFonts w:eastAsiaTheme="minorEastAsia"/>
          <w:sz w:val="24"/>
          <w:szCs w:val="24"/>
        </w:rPr>
        <w:t>Collect and analyze information on employee engagement, development and recognition; campus safety; and inclusivity.</w:t>
      </w:r>
    </w:p>
    <w:p w14:paraId="33D344C2" w14:textId="332765BF" w:rsidR="689F37A8" w:rsidRPr="004217FC" w:rsidRDefault="1A658BAD" w:rsidP="1A658BAD">
      <w:pPr>
        <w:pStyle w:val="ListParagraph"/>
        <w:numPr>
          <w:ilvl w:val="0"/>
          <w:numId w:val="2"/>
        </w:numPr>
        <w:spacing w:after="0" w:line="240" w:lineRule="auto"/>
        <w:rPr>
          <w:sz w:val="24"/>
          <w:szCs w:val="24"/>
        </w:rPr>
      </w:pPr>
      <w:r w:rsidRPr="004217FC">
        <w:rPr>
          <w:rFonts w:eastAsiaTheme="minorEastAsia"/>
          <w:sz w:val="24"/>
          <w:szCs w:val="24"/>
        </w:rPr>
        <w:t xml:space="preserve">Define goals and targets that are appropriate to the mission, student populations, and educational offerings. </w:t>
      </w:r>
    </w:p>
    <w:p w14:paraId="57196192" w14:textId="76D13256" w:rsidR="689F37A8" w:rsidRPr="004217FC" w:rsidRDefault="1A658BAD" w:rsidP="1A658BAD">
      <w:pPr>
        <w:pStyle w:val="ListParagraph"/>
        <w:numPr>
          <w:ilvl w:val="0"/>
          <w:numId w:val="2"/>
        </w:numPr>
        <w:spacing w:after="0" w:line="240" w:lineRule="auto"/>
        <w:rPr>
          <w:sz w:val="24"/>
          <w:szCs w:val="24"/>
        </w:rPr>
      </w:pPr>
      <w:r w:rsidRPr="004217FC">
        <w:rPr>
          <w:rFonts w:eastAsiaTheme="minorEastAsia"/>
          <w:sz w:val="24"/>
          <w:szCs w:val="24"/>
        </w:rPr>
        <w:t xml:space="preserve">Use campus climate information to </w:t>
      </w:r>
      <w:r w:rsidR="00A04B3E" w:rsidRPr="004217FC">
        <w:rPr>
          <w:rFonts w:eastAsiaTheme="minorEastAsia"/>
          <w:sz w:val="24"/>
          <w:szCs w:val="24"/>
        </w:rPr>
        <w:t>recommend</w:t>
      </w:r>
      <w:r w:rsidRPr="004217FC">
        <w:rPr>
          <w:rFonts w:eastAsiaTheme="minorEastAsia"/>
          <w:sz w:val="24"/>
          <w:szCs w:val="24"/>
        </w:rPr>
        <w:t xml:space="preserve"> improvements warranted by the data.</w:t>
      </w:r>
    </w:p>
    <w:p w14:paraId="4F176432" w14:textId="021B66A0" w:rsidR="689F37A8" w:rsidRPr="004217FC" w:rsidRDefault="1A658BAD" w:rsidP="1A658BAD">
      <w:pPr>
        <w:pStyle w:val="ListParagraph"/>
        <w:numPr>
          <w:ilvl w:val="0"/>
          <w:numId w:val="2"/>
        </w:numPr>
        <w:spacing w:after="0" w:line="240" w:lineRule="auto"/>
        <w:rPr>
          <w:sz w:val="24"/>
          <w:szCs w:val="24"/>
        </w:rPr>
      </w:pPr>
      <w:r w:rsidRPr="004217FC">
        <w:rPr>
          <w:rFonts w:eastAsiaTheme="minorEastAsia"/>
          <w:sz w:val="24"/>
          <w:szCs w:val="24"/>
        </w:rPr>
        <w:t>Develop and monitor processes for:</w:t>
      </w:r>
    </w:p>
    <w:p w14:paraId="32F3CD2C" w14:textId="76EB5C2A" w:rsidR="00BE74AC" w:rsidRPr="004217FC" w:rsidRDefault="1A658BAD" w:rsidP="1A658BAD">
      <w:pPr>
        <w:pStyle w:val="ListParagraph"/>
        <w:numPr>
          <w:ilvl w:val="1"/>
          <w:numId w:val="3"/>
        </w:numPr>
        <w:spacing w:after="0" w:line="240" w:lineRule="auto"/>
        <w:rPr>
          <w:sz w:val="24"/>
          <w:szCs w:val="24"/>
        </w:rPr>
      </w:pPr>
      <w:r w:rsidRPr="004217FC">
        <w:rPr>
          <w:rFonts w:eastAsiaTheme="minorEastAsia"/>
          <w:sz w:val="24"/>
          <w:szCs w:val="24"/>
        </w:rPr>
        <w:t>ensuring staff members who provide non-academic student support services are qualified, trained and supported (3.C.6).</w:t>
      </w:r>
    </w:p>
    <w:p w14:paraId="0BF2F889" w14:textId="0A1FB5E3" w:rsidR="00BE74AC" w:rsidRPr="004217FC" w:rsidRDefault="1A658BAD" w:rsidP="1A658BAD">
      <w:pPr>
        <w:pStyle w:val="ListParagraph"/>
        <w:numPr>
          <w:ilvl w:val="1"/>
          <w:numId w:val="3"/>
        </w:numPr>
        <w:spacing w:after="0" w:line="240" w:lineRule="auto"/>
        <w:rPr>
          <w:sz w:val="24"/>
          <w:szCs w:val="24"/>
        </w:rPr>
      </w:pPr>
      <w:r w:rsidRPr="004217FC">
        <w:rPr>
          <w:rFonts w:eastAsiaTheme="minorEastAsia"/>
          <w:sz w:val="24"/>
          <w:szCs w:val="24"/>
        </w:rPr>
        <w:t>supporting student support staff members in increasing their skills and knowledge in their areas of expertise (e.g. advising, financial aid, etc.) (3.C.6).</w:t>
      </w:r>
    </w:p>
    <w:p w14:paraId="5D24D5EE" w14:textId="278DBEFD" w:rsidR="00BE74AC" w:rsidRPr="004217FC" w:rsidRDefault="1A658BAD" w:rsidP="1A658BAD">
      <w:pPr>
        <w:pStyle w:val="ListParagraph"/>
        <w:numPr>
          <w:ilvl w:val="1"/>
          <w:numId w:val="3"/>
        </w:numPr>
        <w:spacing w:after="0" w:line="240" w:lineRule="auto"/>
        <w:rPr>
          <w:sz w:val="24"/>
          <w:szCs w:val="24"/>
        </w:rPr>
      </w:pPr>
      <w:r w:rsidRPr="004217FC">
        <w:rPr>
          <w:rFonts w:eastAsiaTheme="minorEastAsia"/>
          <w:sz w:val="24"/>
          <w:szCs w:val="24"/>
        </w:rPr>
        <w:t>ensuring that instructors are current in instructional content in their disciplines and pedagogical processes (3.C.4).</w:t>
      </w:r>
    </w:p>
    <w:p w14:paraId="1FBEEDD2" w14:textId="17CF5406" w:rsidR="00BE74AC" w:rsidRPr="004217FC" w:rsidRDefault="1A658BAD" w:rsidP="1A658BAD">
      <w:pPr>
        <w:pStyle w:val="ListParagraph"/>
        <w:numPr>
          <w:ilvl w:val="1"/>
          <w:numId w:val="3"/>
        </w:numPr>
        <w:spacing w:after="0" w:line="240" w:lineRule="auto"/>
        <w:rPr>
          <w:sz w:val="24"/>
          <w:szCs w:val="24"/>
        </w:rPr>
      </w:pPr>
      <w:r w:rsidRPr="004217FC">
        <w:rPr>
          <w:rFonts w:eastAsiaTheme="minorEastAsia"/>
          <w:sz w:val="24"/>
          <w:szCs w:val="24"/>
        </w:rPr>
        <w:t>aligning professional development activities with institutional objectives</w:t>
      </w:r>
    </w:p>
    <w:p w14:paraId="7F87C7CB" w14:textId="6EFC5816" w:rsidR="00BE74AC" w:rsidRPr="004217FC" w:rsidRDefault="1A658BAD" w:rsidP="1A658BAD">
      <w:pPr>
        <w:pStyle w:val="ListParagraph"/>
        <w:numPr>
          <w:ilvl w:val="1"/>
          <w:numId w:val="3"/>
        </w:numPr>
        <w:spacing w:after="0" w:line="240" w:lineRule="auto"/>
        <w:rPr>
          <w:sz w:val="24"/>
          <w:szCs w:val="24"/>
        </w:rPr>
      </w:pPr>
      <w:r w:rsidRPr="004217FC">
        <w:rPr>
          <w:rFonts w:eastAsiaTheme="minorEastAsia"/>
          <w:sz w:val="24"/>
          <w:szCs w:val="24"/>
        </w:rPr>
        <w:t>providing and supporting regular professional development for all employees (5.A.4).</w:t>
      </w:r>
    </w:p>
    <w:p w14:paraId="02A1019E" w14:textId="41191271" w:rsidR="00BE74AC" w:rsidRPr="004217FC" w:rsidRDefault="4E0BC4CE" w:rsidP="4E0BC4CE">
      <w:pPr>
        <w:pStyle w:val="ListParagraph"/>
        <w:numPr>
          <w:ilvl w:val="1"/>
          <w:numId w:val="3"/>
        </w:numPr>
        <w:spacing w:after="0" w:line="240" w:lineRule="auto"/>
        <w:rPr>
          <w:sz w:val="24"/>
          <w:szCs w:val="24"/>
        </w:rPr>
      </w:pPr>
      <w:r w:rsidRPr="004217FC">
        <w:rPr>
          <w:rFonts w:eastAsiaTheme="minorEastAsia"/>
          <w:sz w:val="24"/>
          <w:szCs w:val="24"/>
        </w:rPr>
        <w:t>promoting employee satisfaction and engagement and recognizing employee achievements.</w:t>
      </w:r>
    </w:p>
    <w:p w14:paraId="02EB378F" w14:textId="77777777" w:rsidR="00BE74AC" w:rsidRPr="004217FC" w:rsidRDefault="00BE74AC" w:rsidP="1A658BAD">
      <w:pPr>
        <w:spacing w:after="0" w:line="240" w:lineRule="auto"/>
      </w:pPr>
    </w:p>
    <w:p w14:paraId="7C71A757" w14:textId="37AB72A1" w:rsidR="1A658BAD" w:rsidRPr="004217FC" w:rsidRDefault="1A658BAD" w:rsidP="1A658BAD">
      <w:pPr>
        <w:spacing w:after="0" w:line="240" w:lineRule="auto"/>
      </w:pPr>
    </w:p>
    <w:p w14:paraId="41C8F396" w14:textId="5011886D" w:rsidR="00C56032" w:rsidRPr="004217FC" w:rsidRDefault="45FBD800" w:rsidP="45FBD800">
      <w:pPr>
        <w:spacing w:after="0" w:line="240" w:lineRule="auto"/>
        <w:rPr>
          <w:b/>
          <w:bCs/>
        </w:rPr>
      </w:pPr>
      <w:r w:rsidRPr="004217FC">
        <w:rPr>
          <w:b/>
          <w:bCs/>
        </w:rPr>
        <w:t>Team Membership</w:t>
      </w:r>
    </w:p>
    <w:p w14:paraId="37997D0D" w14:textId="5C9D3555" w:rsidR="004217FC" w:rsidRPr="004217FC" w:rsidRDefault="00E56F2E" w:rsidP="00C40800">
      <w:pPr>
        <w:spacing w:after="0" w:line="240" w:lineRule="auto"/>
      </w:pPr>
      <w:r w:rsidRPr="004217FC">
        <w:t>Chair – Kyla Kruse</w:t>
      </w:r>
      <w:r w:rsidR="00530E64" w:rsidRPr="004217FC">
        <w:t xml:space="preserve"> </w:t>
      </w:r>
    </w:p>
    <w:p w14:paraId="11EA276B" w14:textId="662CA723" w:rsidR="45FBD800" w:rsidRPr="004217FC" w:rsidRDefault="00E56F2E" w:rsidP="004217FC">
      <w:pPr>
        <w:pStyle w:val="ListParagraph"/>
        <w:numPr>
          <w:ilvl w:val="0"/>
          <w:numId w:val="1"/>
        </w:numPr>
        <w:spacing w:before="240" w:after="0" w:line="240" w:lineRule="auto"/>
      </w:pPr>
      <w:r w:rsidRPr="004217FC">
        <w:t>Director of Employee Benefits or Employee Benefits Coordinator)</w:t>
      </w:r>
      <w:r w:rsidR="004217FC" w:rsidRPr="004217FC">
        <w:t xml:space="preserve"> (1)</w:t>
      </w:r>
    </w:p>
    <w:p w14:paraId="5146EE6C" w14:textId="1729656C" w:rsidR="45FBD800" w:rsidRPr="004217FC" w:rsidRDefault="4E0BC4CE" w:rsidP="45FBD800">
      <w:pPr>
        <w:pStyle w:val="ListParagraph"/>
        <w:numPr>
          <w:ilvl w:val="0"/>
          <w:numId w:val="1"/>
        </w:numPr>
        <w:spacing w:after="0" w:line="240" w:lineRule="auto"/>
      </w:pPr>
      <w:r w:rsidRPr="004217FC">
        <w:t>Police Department</w:t>
      </w:r>
      <w:r w:rsidR="00166889" w:rsidRPr="004217FC">
        <w:t xml:space="preserve"> (1)</w:t>
      </w:r>
    </w:p>
    <w:p w14:paraId="1D8D8447" w14:textId="155AF4D9" w:rsidR="00530E64" w:rsidRPr="004217FC" w:rsidRDefault="00530E64" w:rsidP="45FBD800">
      <w:pPr>
        <w:pStyle w:val="ListParagraph"/>
        <w:numPr>
          <w:ilvl w:val="0"/>
          <w:numId w:val="1"/>
        </w:numPr>
        <w:spacing w:after="0" w:line="240" w:lineRule="auto"/>
      </w:pPr>
      <w:r w:rsidRPr="004217FC">
        <w:t xml:space="preserve">Student Engagement Coordinator </w:t>
      </w:r>
      <w:r w:rsidR="00C40800">
        <w:t>(1)</w:t>
      </w:r>
    </w:p>
    <w:p w14:paraId="47606AD8" w14:textId="42F12C68" w:rsidR="4E0BC4CE" w:rsidRPr="004217FC" w:rsidRDefault="4E0BC4CE" w:rsidP="4E0BC4CE">
      <w:pPr>
        <w:pStyle w:val="ListParagraph"/>
        <w:numPr>
          <w:ilvl w:val="0"/>
          <w:numId w:val="1"/>
        </w:numPr>
        <w:spacing w:after="0" w:line="240" w:lineRule="auto"/>
      </w:pPr>
      <w:r w:rsidRPr="004217FC">
        <w:t>Academic Innovation and eLearning</w:t>
      </w:r>
      <w:r w:rsidR="00E47BF7" w:rsidRPr="004217FC">
        <w:t xml:space="preserve"> (</w:t>
      </w:r>
      <w:r w:rsidR="00166889" w:rsidRPr="004217FC">
        <w:t>1</w:t>
      </w:r>
      <w:r w:rsidR="00E47BF7" w:rsidRPr="004217FC">
        <w:t>)</w:t>
      </w:r>
    </w:p>
    <w:p w14:paraId="1F0A5687" w14:textId="205FFD84" w:rsidR="45FBD800" w:rsidRPr="004217FC" w:rsidRDefault="4E0BC4CE" w:rsidP="45FBD800">
      <w:pPr>
        <w:pStyle w:val="ListParagraph"/>
        <w:numPr>
          <w:ilvl w:val="0"/>
          <w:numId w:val="1"/>
        </w:numPr>
        <w:spacing w:after="0" w:line="240" w:lineRule="auto"/>
      </w:pPr>
      <w:r w:rsidRPr="004217FC">
        <w:t>Student Services</w:t>
      </w:r>
      <w:r w:rsidR="00530E64" w:rsidRPr="004217FC">
        <w:t xml:space="preserve"> (1)</w:t>
      </w:r>
    </w:p>
    <w:p w14:paraId="760CD288" w14:textId="00954713" w:rsidR="45FBD800" w:rsidRPr="004217FC" w:rsidRDefault="1BDA3D90" w:rsidP="1BDA3D90">
      <w:pPr>
        <w:pStyle w:val="ListParagraph"/>
        <w:numPr>
          <w:ilvl w:val="0"/>
          <w:numId w:val="1"/>
        </w:numPr>
        <w:spacing w:after="0" w:line="240" w:lineRule="auto"/>
      </w:pPr>
      <w:r w:rsidRPr="004217FC">
        <w:t>Faculty</w:t>
      </w:r>
      <w:r w:rsidR="00530E64" w:rsidRPr="004217FC">
        <w:t xml:space="preserve"> (2)</w:t>
      </w:r>
      <w:r w:rsidR="00E56F2E" w:rsidRPr="004217FC">
        <w:t xml:space="preserve"> </w:t>
      </w:r>
    </w:p>
    <w:p w14:paraId="35C18588" w14:textId="79D45773" w:rsidR="1BDA3D90" w:rsidRPr="004217FC" w:rsidRDefault="1BDA3D90" w:rsidP="1BDA3D90">
      <w:pPr>
        <w:pStyle w:val="ListParagraph"/>
        <w:numPr>
          <w:ilvl w:val="0"/>
          <w:numId w:val="1"/>
        </w:numPr>
        <w:spacing w:after="0" w:line="240" w:lineRule="auto"/>
      </w:pPr>
      <w:r w:rsidRPr="004217FC">
        <w:t>Student</w:t>
      </w:r>
      <w:r w:rsidR="00530E64" w:rsidRPr="004217FC">
        <w:t xml:space="preserve"> (1)</w:t>
      </w:r>
    </w:p>
    <w:p w14:paraId="622BD5C8" w14:textId="2A24AB2A" w:rsidR="00E56F2E" w:rsidRPr="004217FC" w:rsidRDefault="00E56F2E" w:rsidP="1BDA3D90">
      <w:pPr>
        <w:pStyle w:val="ListParagraph"/>
        <w:numPr>
          <w:ilvl w:val="0"/>
          <w:numId w:val="1"/>
        </w:numPr>
        <w:spacing w:after="0" w:line="240" w:lineRule="auto"/>
      </w:pPr>
      <w:r w:rsidRPr="004217FC">
        <w:t>IT (1)</w:t>
      </w:r>
    </w:p>
    <w:p w14:paraId="5BC7364F" w14:textId="1613E49C" w:rsidR="00166889" w:rsidRDefault="00166889" w:rsidP="1BDA3D90">
      <w:pPr>
        <w:pStyle w:val="ListParagraph"/>
        <w:numPr>
          <w:ilvl w:val="0"/>
          <w:numId w:val="1"/>
        </w:numPr>
        <w:spacing w:after="0" w:line="240" w:lineRule="auto"/>
      </w:pPr>
      <w:r w:rsidRPr="004217FC">
        <w:t>Compliance Coordinator</w:t>
      </w:r>
      <w:r w:rsidR="004217FC" w:rsidRPr="004217FC">
        <w:t xml:space="preserve"> (1)</w:t>
      </w:r>
    </w:p>
    <w:p w14:paraId="1435E946" w14:textId="7342E989" w:rsidR="00D51832" w:rsidRPr="004217FC" w:rsidRDefault="00D51832" w:rsidP="1BDA3D90">
      <w:pPr>
        <w:pStyle w:val="ListParagraph"/>
        <w:numPr>
          <w:ilvl w:val="0"/>
          <w:numId w:val="1"/>
        </w:numPr>
        <w:spacing w:after="0" w:line="240" w:lineRule="auto"/>
      </w:pPr>
      <w:r w:rsidRPr="004217FC">
        <w:t xml:space="preserve">Human Resources </w:t>
      </w:r>
      <w:r>
        <w:t>EEOC</w:t>
      </w:r>
      <w:r w:rsidRPr="004217FC">
        <w:t xml:space="preserve"> (1)</w:t>
      </w:r>
    </w:p>
    <w:p w14:paraId="7AB24DB8" w14:textId="4B445C9F" w:rsidR="00E56F2E" w:rsidRPr="004217FC" w:rsidRDefault="00E56F2E" w:rsidP="1BDA3D90">
      <w:pPr>
        <w:pStyle w:val="ListParagraph"/>
        <w:numPr>
          <w:ilvl w:val="0"/>
          <w:numId w:val="1"/>
        </w:numPr>
        <w:spacing w:after="0" w:line="240" w:lineRule="auto"/>
      </w:pPr>
      <w:r w:rsidRPr="004217FC">
        <w:t>Outreach Center Rep (1)</w:t>
      </w:r>
    </w:p>
    <w:p w14:paraId="18A22C69" w14:textId="5A99151F" w:rsidR="00E56F2E" w:rsidRPr="004217FC" w:rsidRDefault="00E56F2E" w:rsidP="1BDA3D90">
      <w:pPr>
        <w:pStyle w:val="ListParagraph"/>
        <w:numPr>
          <w:ilvl w:val="0"/>
          <w:numId w:val="1"/>
        </w:numPr>
        <w:spacing w:after="0" w:line="240" w:lineRule="auto"/>
      </w:pPr>
      <w:r w:rsidRPr="004217FC">
        <w:t>Director Construction/Safety</w:t>
      </w:r>
      <w:r w:rsidR="004217FC" w:rsidRPr="004217FC">
        <w:t xml:space="preserve"> (1)</w:t>
      </w:r>
    </w:p>
    <w:p w14:paraId="342865F2" w14:textId="031CCAAA" w:rsidR="00E56F2E" w:rsidRPr="004217FC" w:rsidRDefault="00E56F2E" w:rsidP="1BDA3D90">
      <w:pPr>
        <w:pStyle w:val="ListParagraph"/>
        <w:numPr>
          <w:ilvl w:val="0"/>
          <w:numId w:val="1"/>
        </w:numPr>
        <w:spacing w:after="0" w:line="240" w:lineRule="auto"/>
      </w:pPr>
      <w:r w:rsidRPr="004217FC">
        <w:lastRenderedPageBreak/>
        <w:t>Classified Employee (1)</w:t>
      </w:r>
    </w:p>
    <w:p w14:paraId="3F322A84" w14:textId="52235A98" w:rsidR="00E56F2E" w:rsidRPr="004217FC" w:rsidRDefault="00E56F2E" w:rsidP="1BDA3D90">
      <w:pPr>
        <w:pStyle w:val="ListParagraph"/>
        <w:numPr>
          <w:ilvl w:val="0"/>
          <w:numId w:val="1"/>
        </w:numPr>
        <w:spacing w:after="0" w:line="240" w:lineRule="auto"/>
      </w:pPr>
      <w:r w:rsidRPr="004217FC">
        <w:t>Professional Employee (1)</w:t>
      </w:r>
    </w:p>
    <w:p w14:paraId="3157589B" w14:textId="2ED5830E" w:rsidR="00E56F2E" w:rsidRPr="004217FC" w:rsidRDefault="00E56F2E" w:rsidP="1BDA3D90">
      <w:pPr>
        <w:pStyle w:val="ListParagraph"/>
        <w:numPr>
          <w:ilvl w:val="0"/>
          <w:numId w:val="1"/>
        </w:numPr>
        <w:spacing w:after="0" w:line="240" w:lineRule="auto"/>
      </w:pPr>
      <w:r w:rsidRPr="004217FC">
        <w:t>Administrative Employee (1)</w:t>
      </w:r>
    </w:p>
    <w:sectPr w:rsidR="00E56F2E" w:rsidRPr="0042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7E8"/>
    <w:multiLevelType w:val="hybridMultilevel"/>
    <w:tmpl w:val="17D0D872"/>
    <w:lvl w:ilvl="0" w:tplc="40A8F266">
      <w:start w:val="1"/>
      <w:numFmt w:val="bullet"/>
      <w:lvlText w:val=""/>
      <w:lvlJc w:val="left"/>
      <w:pPr>
        <w:ind w:left="720" w:hanging="360"/>
      </w:pPr>
      <w:rPr>
        <w:rFonts w:ascii="Symbol" w:hAnsi="Symbol" w:hint="default"/>
      </w:rPr>
    </w:lvl>
    <w:lvl w:ilvl="1" w:tplc="F614DFA2">
      <w:start w:val="1"/>
      <w:numFmt w:val="bullet"/>
      <w:lvlText w:val="o"/>
      <w:lvlJc w:val="left"/>
      <w:pPr>
        <w:ind w:left="1440" w:hanging="360"/>
      </w:pPr>
      <w:rPr>
        <w:rFonts w:ascii="Courier New" w:hAnsi="Courier New" w:hint="default"/>
      </w:rPr>
    </w:lvl>
    <w:lvl w:ilvl="2" w:tplc="F47E47E6">
      <w:start w:val="1"/>
      <w:numFmt w:val="bullet"/>
      <w:lvlText w:val=""/>
      <w:lvlJc w:val="left"/>
      <w:pPr>
        <w:ind w:left="2160" w:hanging="360"/>
      </w:pPr>
      <w:rPr>
        <w:rFonts w:ascii="Wingdings" w:hAnsi="Wingdings" w:hint="default"/>
      </w:rPr>
    </w:lvl>
    <w:lvl w:ilvl="3" w:tplc="8EFCE3C8">
      <w:start w:val="1"/>
      <w:numFmt w:val="bullet"/>
      <w:lvlText w:val=""/>
      <w:lvlJc w:val="left"/>
      <w:pPr>
        <w:ind w:left="2880" w:hanging="360"/>
      </w:pPr>
      <w:rPr>
        <w:rFonts w:ascii="Symbol" w:hAnsi="Symbol" w:hint="default"/>
      </w:rPr>
    </w:lvl>
    <w:lvl w:ilvl="4" w:tplc="0B74A716">
      <w:start w:val="1"/>
      <w:numFmt w:val="bullet"/>
      <w:lvlText w:val="o"/>
      <w:lvlJc w:val="left"/>
      <w:pPr>
        <w:ind w:left="3600" w:hanging="360"/>
      </w:pPr>
      <w:rPr>
        <w:rFonts w:ascii="Courier New" w:hAnsi="Courier New" w:hint="default"/>
      </w:rPr>
    </w:lvl>
    <w:lvl w:ilvl="5" w:tplc="8B1E7B48">
      <w:start w:val="1"/>
      <w:numFmt w:val="bullet"/>
      <w:lvlText w:val=""/>
      <w:lvlJc w:val="left"/>
      <w:pPr>
        <w:ind w:left="4320" w:hanging="360"/>
      </w:pPr>
      <w:rPr>
        <w:rFonts w:ascii="Wingdings" w:hAnsi="Wingdings" w:hint="default"/>
      </w:rPr>
    </w:lvl>
    <w:lvl w:ilvl="6" w:tplc="FE522DB0">
      <w:start w:val="1"/>
      <w:numFmt w:val="bullet"/>
      <w:lvlText w:val=""/>
      <w:lvlJc w:val="left"/>
      <w:pPr>
        <w:ind w:left="5040" w:hanging="360"/>
      </w:pPr>
      <w:rPr>
        <w:rFonts w:ascii="Symbol" w:hAnsi="Symbol" w:hint="default"/>
      </w:rPr>
    </w:lvl>
    <w:lvl w:ilvl="7" w:tplc="0860B828">
      <w:start w:val="1"/>
      <w:numFmt w:val="bullet"/>
      <w:lvlText w:val="o"/>
      <w:lvlJc w:val="left"/>
      <w:pPr>
        <w:ind w:left="5760" w:hanging="360"/>
      </w:pPr>
      <w:rPr>
        <w:rFonts w:ascii="Courier New" w:hAnsi="Courier New" w:hint="default"/>
      </w:rPr>
    </w:lvl>
    <w:lvl w:ilvl="8" w:tplc="907A3374">
      <w:start w:val="1"/>
      <w:numFmt w:val="bullet"/>
      <w:lvlText w:val=""/>
      <w:lvlJc w:val="left"/>
      <w:pPr>
        <w:ind w:left="6480" w:hanging="360"/>
      </w:pPr>
      <w:rPr>
        <w:rFonts w:ascii="Wingdings" w:hAnsi="Wingdings" w:hint="default"/>
      </w:rPr>
    </w:lvl>
  </w:abstractNum>
  <w:abstractNum w:abstractNumId="1" w15:restartNumberingAfterBreak="0">
    <w:nsid w:val="2B7F509E"/>
    <w:multiLevelType w:val="hybridMultilevel"/>
    <w:tmpl w:val="0A9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34FFD"/>
    <w:multiLevelType w:val="hybridMultilevel"/>
    <w:tmpl w:val="DC80CADA"/>
    <w:lvl w:ilvl="0" w:tplc="84E0F604">
      <w:start w:val="1"/>
      <w:numFmt w:val="bullet"/>
      <w:lvlText w:val=""/>
      <w:lvlJc w:val="left"/>
      <w:pPr>
        <w:ind w:left="720" w:hanging="360"/>
      </w:pPr>
      <w:rPr>
        <w:rFonts w:ascii="Symbol" w:hAnsi="Symbol" w:hint="default"/>
      </w:rPr>
    </w:lvl>
    <w:lvl w:ilvl="1" w:tplc="B6F8B8C8">
      <w:start w:val="1"/>
      <w:numFmt w:val="bullet"/>
      <w:lvlText w:val="o"/>
      <w:lvlJc w:val="left"/>
      <w:pPr>
        <w:ind w:left="1440" w:hanging="360"/>
      </w:pPr>
      <w:rPr>
        <w:rFonts w:ascii="Courier New" w:hAnsi="Courier New" w:hint="default"/>
      </w:rPr>
    </w:lvl>
    <w:lvl w:ilvl="2" w:tplc="54849ECC">
      <w:start w:val="1"/>
      <w:numFmt w:val="bullet"/>
      <w:lvlText w:val=""/>
      <w:lvlJc w:val="left"/>
      <w:pPr>
        <w:ind w:left="2160" w:hanging="360"/>
      </w:pPr>
      <w:rPr>
        <w:rFonts w:ascii="Wingdings" w:hAnsi="Wingdings" w:hint="default"/>
      </w:rPr>
    </w:lvl>
    <w:lvl w:ilvl="3" w:tplc="A208BB7E">
      <w:start w:val="1"/>
      <w:numFmt w:val="bullet"/>
      <w:lvlText w:val=""/>
      <w:lvlJc w:val="left"/>
      <w:pPr>
        <w:ind w:left="2880" w:hanging="360"/>
      </w:pPr>
      <w:rPr>
        <w:rFonts w:ascii="Symbol" w:hAnsi="Symbol" w:hint="default"/>
      </w:rPr>
    </w:lvl>
    <w:lvl w:ilvl="4" w:tplc="5EDC80CE">
      <w:start w:val="1"/>
      <w:numFmt w:val="bullet"/>
      <w:lvlText w:val="o"/>
      <w:lvlJc w:val="left"/>
      <w:pPr>
        <w:ind w:left="3600" w:hanging="360"/>
      </w:pPr>
      <w:rPr>
        <w:rFonts w:ascii="Courier New" w:hAnsi="Courier New" w:hint="default"/>
      </w:rPr>
    </w:lvl>
    <w:lvl w:ilvl="5" w:tplc="FA486626">
      <w:start w:val="1"/>
      <w:numFmt w:val="bullet"/>
      <w:lvlText w:val=""/>
      <w:lvlJc w:val="left"/>
      <w:pPr>
        <w:ind w:left="4320" w:hanging="360"/>
      </w:pPr>
      <w:rPr>
        <w:rFonts w:ascii="Wingdings" w:hAnsi="Wingdings" w:hint="default"/>
      </w:rPr>
    </w:lvl>
    <w:lvl w:ilvl="6" w:tplc="599C3AB4">
      <w:start w:val="1"/>
      <w:numFmt w:val="bullet"/>
      <w:lvlText w:val=""/>
      <w:lvlJc w:val="left"/>
      <w:pPr>
        <w:ind w:left="5040" w:hanging="360"/>
      </w:pPr>
      <w:rPr>
        <w:rFonts w:ascii="Symbol" w:hAnsi="Symbol" w:hint="default"/>
      </w:rPr>
    </w:lvl>
    <w:lvl w:ilvl="7" w:tplc="8938B72C">
      <w:start w:val="1"/>
      <w:numFmt w:val="bullet"/>
      <w:lvlText w:val="o"/>
      <w:lvlJc w:val="left"/>
      <w:pPr>
        <w:ind w:left="5760" w:hanging="360"/>
      </w:pPr>
      <w:rPr>
        <w:rFonts w:ascii="Courier New" w:hAnsi="Courier New" w:hint="default"/>
      </w:rPr>
    </w:lvl>
    <w:lvl w:ilvl="8" w:tplc="AB00951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AC"/>
    <w:rsid w:val="00005132"/>
    <w:rsid w:val="000A75CF"/>
    <w:rsid w:val="00166889"/>
    <w:rsid w:val="002A0A77"/>
    <w:rsid w:val="003215C3"/>
    <w:rsid w:val="004217FC"/>
    <w:rsid w:val="00530E64"/>
    <w:rsid w:val="005A2B84"/>
    <w:rsid w:val="007B0F3A"/>
    <w:rsid w:val="008217BB"/>
    <w:rsid w:val="008321E9"/>
    <w:rsid w:val="00850EC6"/>
    <w:rsid w:val="00966C5F"/>
    <w:rsid w:val="00975F9F"/>
    <w:rsid w:val="00987603"/>
    <w:rsid w:val="00A04B3E"/>
    <w:rsid w:val="00BE5F20"/>
    <w:rsid w:val="00BE74AC"/>
    <w:rsid w:val="00C40800"/>
    <w:rsid w:val="00C56032"/>
    <w:rsid w:val="00CB1684"/>
    <w:rsid w:val="00D51832"/>
    <w:rsid w:val="00D92E2A"/>
    <w:rsid w:val="00E47BF7"/>
    <w:rsid w:val="00E56F2E"/>
    <w:rsid w:val="00EA37F7"/>
    <w:rsid w:val="1A658BAD"/>
    <w:rsid w:val="1BDA3D90"/>
    <w:rsid w:val="1FEFD665"/>
    <w:rsid w:val="20C26AC7"/>
    <w:rsid w:val="210AF122"/>
    <w:rsid w:val="27FC264B"/>
    <w:rsid w:val="35CE2C7F"/>
    <w:rsid w:val="39A74D41"/>
    <w:rsid w:val="45FBD800"/>
    <w:rsid w:val="4E0BC4CE"/>
    <w:rsid w:val="5DAC3203"/>
    <w:rsid w:val="689F37A8"/>
    <w:rsid w:val="6A34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4D41"/>
  <w15:chartTrackingRefBased/>
  <w15:docId w15:val="{0ADA0478-80EC-4011-8C1B-D2025BE3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2A"/>
    <w:pPr>
      <w:ind w:left="720"/>
      <w:contextualSpacing/>
    </w:pPr>
  </w:style>
  <w:style w:type="paragraph" w:styleId="BalloonText">
    <w:name w:val="Balloon Text"/>
    <w:basedOn w:val="Normal"/>
    <w:link w:val="BalloonTextChar"/>
    <w:uiPriority w:val="99"/>
    <w:semiHidden/>
    <w:unhideWhenUsed/>
    <w:rsid w:val="00C5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32"/>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Lesley J</dc:creator>
  <cp:keywords/>
  <dc:description/>
  <cp:lastModifiedBy>Warren, Charlotte J</cp:lastModifiedBy>
  <cp:revision>2</cp:revision>
  <cp:lastPrinted>2018-05-08T13:36:00Z</cp:lastPrinted>
  <dcterms:created xsi:type="dcterms:W3CDTF">2018-05-08T20:21:00Z</dcterms:created>
  <dcterms:modified xsi:type="dcterms:W3CDTF">2018-05-08T20:21:00Z</dcterms:modified>
</cp:coreProperties>
</file>